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09DA6C" w14:textId="77777777" w:rsidR="00F72EBC" w:rsidRPr="00F72EBC" w:rsidRDefault="00F72EBC" w:rsidP="00121C23">
      <w:pPr>
        <w:spacing w:line="276" w:lineRule="auto"/>
        <w:ind w:left="90" w:right="720"/>
        <w:jc w:val="center"/>
        <w:rPr>
          <w:rFonts w:ascii="Cambria" w:eastAsia="Cambria" w:hAnsi="Cambria" w:cs="Cambria"/>
          <w:b/>
          <w:color w:val="28602F"/>
          <w:sz w:val="40"/>
        </w:rPr>
      </w:pPr>
      <w:r>
        <w:rPr>
          <w:rFonts w:ascii="Cambria" w:eastAsia="Cambria" w:hAnsi="Cambria" w:cs="Cambria"/>
          <w:b/>
          <w:noProof/>
          <w:color w:val="006633"/>
          <w:sz w:val="40"/>
        </w:rPr>
        <w:drawing>
          <wp:inline distT="0" distB="0" distL="0" distR="0" wp14:anchorId="104B03F2" wp14:editId="28E309F9">
            <wp:extent cx="2181225" cy="68163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AndStatsLogo 0215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10148" cy="721921"/>
                    </a:xfrm>
                    <a:prstGeom prst="rect">
                      <a:avLst/>
                    </a:prstGeom>
                  </pic:spPr>
                </pic:pic>
              </a:graphicData>
            </a:graphic>
          </wp:inline>
        </w:drawing>
      </w:r>
    </w:p>
    <w:p w14:paraId="230D4DB2" w14:textId="77777777" w:rsidR="00B15D79" w:rsidRPr="00F72EBC" w:rsidRDefault="00251D6B" w:rsidP="00121C23">
      <w:pPr>
        <w:spacing w:line="276" w:lineRule="auto"/>
        <w:ind w:left="90" w:right="720"/>
        <w:jc w:val="center"/>
        <w:rPr>
          <w:rFonts w:ascii="Cambria" w:eastAsia="Cambria" w:hAnsi="Cambria" w:cs="Cambria"/>
          <w:b/>
          <w:color w:val="28602F"/>
          <w:sz w:val="32"/>
        </w:rPr>
      </w:pPr>
      <w:r w:rsidRPr="00F72EBC">
        <w:rPr>
          <w:rFonts w:ascii="Cambria" w:eastAsia="Cambria" w:hAnsi="Cambria" w:cs="Cambria"/>
          <w:b/>
          <w:color w:val="28602F"/>
          <w:sz w:val="40"/>
        </w:rPr>
        <w:t>COLLOQUIUM</w:t>
      </w:r>
    </w:p>
    <w:p w14:paraId="506A6966" w14:textId="77777777" w:rsidR="005900CA" w:rsidRPr="007A710E" w:rsidRDefault="005900CA" w:rsidP="00AF270E">
      <w:pPr>
        <w:tabs>
          <w:tab w:val="left" w:pos="2160"/>
        </w:tabs>
        <w:spacing w:line="276" w:lineRule="auto"/>
        <w:ind w:left="2160" w:right="720" w:hanging="2160"/>
        <w:rPr>
          <w:rFonts w:ascii="Cambria" w:eastAsia="Cambria" w:hAnsi="Cambria" w:cs="Cambria"/>
          <w:b/>
          <w:color w:val="28602F"/>
          <w:sz w:val="2"/>
          <w:szCs w:val="28"/>
        </w:rPr>
      </w:pPr>
    </w:p>
    <w:p w14:paraId="1D5A4FB0" w14:textId="5AF22A9F"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Speaker</w:t>
      </w:r>
      <w:r w:rsidR="008B6B39" w:rsidRPr="00F72EBC">
        <w:rPr>
          <w:rFonts w:ascii="Cambria" w:eastAsia="Cambria" w:hAnsi="Cambria" w:cs="Cambria"/>
          <w:b/>
          <w:color w:val="28602F"/>
          <w:sz w:val="28"/>
          <w:szCs w:val="28"/>
        </w:rPr>
        <w:t>:</w:t>
      </w:r>
      <w:r w:rsidRPr="00F72EBC">
        <w:rPr>
          <w:rFonts w:ascii="Cambria" w:eastAsia="Cambria" w:hAnsi="Cambria" w:cs="Cambria"/>
          <w:b/>
          <w:color w:val="28602F"/>
          <w:sz w:val="28"/>
          <w:szCs w:val="28"/>
        </w:rPr>
        <w:tab/>
      </w:r>
      <w:r w:rsidR="003E0FF6">
        <w:rPr>
          <w:rFonts w:ascii="Cambria" w:eastAsia="Cambria" w:hAnsi="Cambria" w:cs="Cambria"/>
          <w:b/>
          <w:color w:val="28602F"/>
          <w:sz w:val="28"/>
          <w:szCs w:val="28"/>
        </w:rPr>
        <w:t xml:space="preserve">Dr. </w:t>
      </w:r>
      <w:r w:rsidR="00D664AF" w:rsidRPr="00D664AF">
        <w:rPr>
          <w:rFonts w:ascii="Cambria" w:eastAsia="Cambria" w:hAnsi="Cambria" w:cs="Cambria"/>
          <w:b/>
          <w:color w:val="28602F"/>
          <w:sz w:val="28"/>
          <w:szCs w:val="28"/>
        </w:rPr>
        <w:t>Tessa Chen, Department of Mathematics, University of Dayton</w:t>
      </w:r>
    </w:p>
    <w:p w14:paraId="2CAFE06A"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7241154D" w14:textId="1BD6A4CA" w:rsidR="00B15D79" w:rsidRPr="00F72EBC" w:rsidRDefault="00251D6B" w:rsidP="00AF270E">
      <w:pPr>
        <w:tabs>
          <w:tab w:val="left" w:pos="2160"/>
        </w:tabs>
        <w:spacing w:line="276" w:lineRule="auto"/>
        <w:ind w:left="2160" w:right="720" w:hanging="2160"/>
        <w:rPr>
          <w:rFonts w:ascii="Cambria" w:eastAsia="Cambria" w:hAnsi="Cambria" w:cs="Cambria"/>
          <w:b/>
          <w:color w:val="28602F"/>
          <w:sz w:val="28"/>
          <w:szCs w:val="28"/>
        </w:rPr>
      </w:pPr>
      <w:r w:rsidRPr="00F72EBC">
        <w:rPr>
          <w:rFonts w:ascii="Cambria" w:eastAsia="Cambria" w:hAnsi="Cambria" w:cs="Cambria"/>
          <w:b/>
          <w:color w:val="28602F"/>
          <w:sz w:val="28"/>
          <w:szCs w:val="28"/>
        </w:rPr>
        <w:t>Title:</w:t>
      </w:r>
      <w:r w:rsidRPr="00F72EBC">
        <w:rPr>
          <w:rFonts w:ascii="Cambria" w:eastAsia="Cambria" w:hAnsi="Cambria" w:cs="Cambria"/>
          <w:b/>
          <w:color w:val="28602F"/>
          <w:sz w:val="28"/>
          <w:szCs w:val="28"/>
        </w:rPr>
        <w:tab/>
      </w:r>
      <w:r w:rsidR="00D664AF" w:rsidRPr="00D664AF">
        <w:rPr>
          <w:rFonts w:ascii="Cambria" w:eastAsia="Cambria" w:hAnsi="Cambria" w:cs="Cambria"/>
          <w:b/>
          <w:color w:val="28602F"/>
          <w:sz w:val="28"/>
          <w:szCs w:val="28"/>
        </w:rPr>
        <w:t>A New Computational Approach for Estimation of the D-Gini Index Based on Grouped Data</w:t>
      </w:r>
    </w:p>
    <w:p w14:paraId="45DB2029"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026DA209" w14:textId="5B46ACC5" w:rsidR="00B15D79" w:rsidRPr="00F72EBC" w:rsidRDefault="00251D6B" w:rsidP="00AF270E">
      <w:pPr>
        <w:tabs>
          <w:tab w:val="left" w:pos="2160"/>
        </w:tabs>
        <w:spacing w:line="276" w:lineRule="auto"/>
        <w:ind w:right="720"/>
        <w:rPr>
          <w:rFonts w:ascii="Cambria" w:eastAsia="Cambria" w:hAnsi="Cambria" w:cs="Cambria"/>
          <w:b/>
          <w:color w:val="28602F"/>
          <w:sz w:val="28"/>
          <w:szCs w:val="28"/>
        </w:rPr>
      </w:pPr>
      <w:bookmarkStart w:id="0" w:name="h.gjdgxs" w:colFirst="0" w:colLast="0"/>
      <w:bookmarkEnd w:id="0"/>
      <w:r w:rsidRPr="00F72EBC">
        <w:rPr>
          <w:rFonts w:ascii="Cambria" w:eastAsia="Cambria" w:hAnsi="Cambria" w:cs="Cambria"/>
          <w:b/>
          <w:color w:val="28602F"/>
          <w:sz w:val="28"/>
          <w:szCs w:val="28"/>
        </w:rPr>
        <w:t>Date:</w:t>
      </w:r>
      <w:r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Friday</w:t>
      </w:r>
      <w:r w:rsidR="00AF270E" w:rsidRPr="00F72EBC">
        <w:rPr>
          <w:rFonts w:ascii="Cambria" w:eastAsia="Cambria" w:hAnsi="Cambria" w:cs="Cambria"/>
          <w:b/>
          <w:color w:val="28602F"/>
          <w:sz w:val="28"/>
          <w:szCs w:val="28"/>
        </w:rPr>
        <w:t>,</w:t>
      </w:r>
      <w:r w:rsidR="00D664AF">
        <w:rPr>
          <w:rFonts w:ascii="Cambria" w:eastAsia="Cambria" w:hAnsi="Cambria" w:cs="Cambria"/>
          <w:b/>
          <w:color w:val="28602F"/>
          <w:sz w:val="28"/>
          <w:szCs w:val="28"/>
        </w:rPr>
        <w:t xml:space="preserve"> November 13</w:t>
      </w:r>
      <w:r w:rsidR="00D664AF" w:rsidRPr="00D664AF">
        <w:rPr>
          <w:rFonts w:ascii="Cambria" w:eastAsia="Cambria" w:hAnsi="Cambria" w:cs="Cambria"/>
          <w:b/>
          <w:color w:val="28602F"/>
          <w:sz w:val="28"/>
          <w:szCs w:val="28"/>
          <w:vertAlign w:val="superscript"/>
        </w:rPr>
        <w:t>th</w:t>
      </w:r>
      <w:r w:rsidR="00D664AF">
        <w:rPr>
          <w:rFonts w:ascii="Cambria" w:eastAsia="Cambria" w:hAnsi="Cambria" w:cs="Cambria"/>
          <w:b/>
          <w:color w:val="28602F"/>
          <w:sz w:val="28"/>
          <w:szCs w:val="28"/>
        </w:rPr>
        <w:t>, 2020</w:t>
      </w:r>
    </w:p>
    <w:p w14:paraId="42EDDE47"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3A752DAD" w14:textId="6FFFABD9" w:rsidR="00B15D79" w:rsidRPr="00F72EBC" w:rsidRDefault="00251D6B" w:rsidP="00AF270E">
      <w:pPr>
        <w:tabs>
          <w:tab w:val="left" w:pos="2160"/>
          <w:tab w:val="left" w:pos="4320"/>
          <w:tab w:val="left" w:pos="612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Room/Time:</w:t>
      </w:r>
      <w:r w:rsidRPr="00F72EBC">
        <w:rPr>
          <w:rFonts w:ascii="Cambria" w:eastAsia="Cambria" w:hAnsi="Cambria" w:cs="Cambria"/>
          <w:b/>
          <w:color w:val="28602F"/>
          <w:sz w:val="28"/>
          <w:szCs w:val="28"/>
        </w:rPr>
        <w:tab/>
      </w:r>
      <w:r w:rsidR="00AF795C">
        <w:rPr>
          <w:rFonts w:ascii="Cambria" w:eastAsia="Cambria" w:hAnsi="Cambria" w:cs="Cambria"/>
          <w:b/>
          <w:color w:val="28602F"/>
          <w:sz w:val="28"/>
          <w:szCs w:val="28"/>
        </w:rPr>
        <w:t>Meet-</w:t>
      </w:r>
      <w:r w:rsidR="00AF270E" w:rsidRPr="00F72EBC">
        <w:rPr>
          <w:rFonts w:ascii="Cambria" w:eastAsia="Cambria" w:hAnsi="Cambria" w:cs="Cambria"/>
          <w:b/>
          <w:color w:val="28602F"/>
          <w:sz w:val="28"/>
          <w:szCs w:val="28"/>
        </w:rPr>
        <w:t>n-Greet:</w:t>
      </w:r>
      <w:r w:rsidR="00AF270E"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2:30</w:t>
      </w:r>
      <w:r w:rsidR="00AF270E" w:rsidRPr="00F72EBC">
        <w:rPr>
          <w:rFonts w:ascii="Cambria" w:eastAsia="Cambria" w:hAnsi="Cambria" w:cs="Cambria"/>
          <w:b/>
          <w:color w:val="28602F"/>
          <w:sz w:val="28"/>
          <w:szCs w:val="28"/>
        </w:rPr>
        <w:t xml:space="preserve"> p.m.</w:t>
      </w:r>
      <w:r w:rsidR="00AF270E" w:rsidRPr="00F72EBC">
        <w:rPr>
          <w:rFonts w:ascii="Cambria" w:eastAsia="Cambria" w:hAnsi="Cambria" w:cs="Cambria"/>
          <w:b/>
          <w:color w:val="28602F"/>
          <w:sz w:val="28"/>
          <w:szCs w:val="28"/>
        </w:rPr>
        <w:tab/>
      </w:r>
    </w:p>
    <w:p w14:paraId="77BCECFC" w14:textId="77777777" w:rsidR="003E0FF6" w:rsidRDefault="0023587F" w:rsidP="00AF270E">
      <w:pPr>
        <w:tabs>
          <w:tab w:val="left" w:pos="2160"/>
          <w:tab w:val="left" w:pos="4320"/>
          <w:tab w:val="left" w:pos="612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ab/>
      </w:r>
      <w:r w:rsidR="00AF270E" w:rsidRPr="00F72EBC">
        <w:rPr>
          <w:rFonts w:ascii="Cambria" w:eastAsia="Cambria" w:hAnsi="Cambria" w:cs="Cambria"/>
          <w:b/>
          <w:color w:val="28602F"/>
          <w:sz w:val="28"/>
          <w:szCs w:val="28"/>
        </w:rPr>
        <w:t>Talk:</w:t>
      </w:r>
      <w:r w:rsidR="00AF270E" w:rsidRPr="00F72EBC">
        <w:rPr>
          <w:rFonts w:ascii="Cambria" w:eastAsia="Cambria" w:hAnsi="Cambria" w:cs="Cambria"/>
          <w:b/>
          <w:color w:val="28602F"/>
          <w:sz w:val="28"/>
          <w:szCs w:val="28"/>
        </w:rPr>
        <w:tab/>
      </w:r>
      <w:r w:rsidR="003C4968">
        <w:rPr>
          <w:rFonts w:ascii="Cambria" w:eastAsia="Cambria" w:hAnsi="Cambria" w:cs="Cambria"/>
          <w:b/>
          <w:color w:val="28602F"/>
          <w:sz w:val="28"/>
          <w:szCs w:val="28"/>
        </w:rPr>
        <w:t>3:00</w:t>
      </w:r>
      <w:r w:rsidR="00AF270E" w:rsidRPr="00F72EBC">
        <w:rPr>
          <w:rFonts w:ascii="Cambria" w:eastAsia="Cambria" w:hAnsi="Cambria" w:cs="Cambria"/>
          <w:b/>
          <w:color w:val="28602F"/>
          <w:sz w:val="28"/>
          <w:szCs w:val="28"/>
        </w:rPr>
        <w:t xml:space="preserve"> p.m.</w:t>
      </w:r>
    </w:p>
    <w:p w14:paraId="3C661532" w14:textId="400A1DD4" w:rsidR="0023587F" w:rsidRPr="00F72EBC" w:rsidRDefault="003E0FF6" w:rsidP="00C92CD2">
      <w:pPr>
        <w:tabs>
          <w:tab w:val="left" w:pos="2160"/>
          <w:tab w:val="left" w:pos="4320"/>
          <w:tab w:val="left" w:pos="6120"/>
        </w:tabs>
        <w:spacing w:line="276" w:lineRule="auto"/>
        <w:ind w:left="1440" w:right="720"/>
        <w:jc w:val="center"/>
        <w:rPr>
          <w:rFonts w:ascii="Cambria" w:eastAsia="Cambria" w:hAnsi="Cambria" w:cs="Cambria"/>
          <w:b/>
          <w:color w:val="28602F"/>
          <w:sz w:val="28"/>
          <w:szCs w:val="28"/>
        </w:rPr>
      </w:pPr>
      <w:r>
        <w:rPr>
          <w:rFonts w:ascii="Cambria" w:eastAsia="Cambria" w:hAnsi="Cambria" w:cs="Cambria"/>
          <w:b/>
          <w:color w:val="28602F"/>
          <w:sz w:val="28"/>
          <w:szCs w:val="28"/>
        </w:rPr>
        <w:tab/>
      </w:r>
      <w:r w:rsidRPr="00C92CD2">
        <w:rPr>
          <w:rFonts w:ascii="Cambria" w:eastAsia="Cambria" w:hAnsi="Cambria" w:cs="Cambria"/>
          <w:b/>
          <w:color w:val="28602F"/>
          <w:szCs w:val="24"/>
        </w:rPr>
        <w:t>https://wright.webex.com/wright/j.php?MTID=m151ae530d62e83a8a43ac4e199ce5463</w:t>
      </w:r>
      <w:r w:rsidRPr="00C92CD2">
        <w:rPr>
          <w:rFonts w:ascii="Cambria" w:eastAsia="Cambria" w:hAnsi="Cambria" w:cs="Cambria"/>
          <w:b/>
          <w:color w:val="28602F"/>
          <w:szCs w:val="24"/>
        </w:rPr>
        <w:t xml:space="preserve"> </w:t>
      </w:r>
      <w:r w:rsidR="00AF270E" w:rsidRPr="00F72EBC">
        <w:rPr>
          <w:rFonts w:ascii="Cambria" w:eastAsia="Cambria" w:hAnsi="Cambria" w:cs="Cambria"/>
          <w:b/>
          <w:color w:val="28602F"/>
          <w:sz w:val="28"/>
          <w:szCs w:val="28"/>
        </w:rPr>
        <w:tab/>
      </w:r>
    </w:p>
    <w:p w14:paraId="334806B7" w14:textId="77777777" w:rsidR="00B15D79" w:rsidRPr="00F72EBC" w:rsidRDefault="00B15D79" w:rsidP="00AF270E">
      <w:pPr>
        <w:tabs>
          <w:tab w:val="left" w:pos="2160"/>
        </w:tabs>
        <w:spacing w:line="276" w:lineRule="auto"/>
        <w:ind w:right="720"/>
        <w:rPr>
          <w:rFonts w:ascii="Cambria" w:eastAsia="Cambria" w:hAnsi="Cambria" w:cs="Cambria"/>
          <w:b/>
          <w:color w:val="28602F"/>
          <w:sz w:val="18"/>
          <w:szCs w:val="16"/>
        </w:rPr>
      </w:pPr>
    </w:p>
    <w:p w14:paraId="6D36755E" w14:textId="75304372" w:rsidR="00B15D79" w:rsidRPr="00F72EBC" w:rsidRDefault="00251D6B" w:rsidP="00AF270E">
      <w:pPr>
        <w:tabs>
          <w:tab w:val="left" w:pos="2160"/>
        </w:tabs>
        <w:spacing w:line="276" w:lineRule="auto"/>
        <w:ind w:right="720"/>
        <w:rPr>
          <w:rFonts w:ascii="Cambria" w:eastAsia="Cambria" w:hAnsi="Cambria" w:cs="Cambria"/>
          <w:b/>
          <w:color w:val="28602F"/>
          <w:sz w:val="28"/>
          <w:szCs w:val="28"/>
        </w:rPr>
      </w:pPr>
      <w:r w:rsidRPr="00F72EBC">
        <w:rPr>
          <w:rFonts w:ascii="Cambria" w:eastAsia="Cambria" w:hAnsi="Cambria" w:cs="Cambria"/>
          <w:b/>
          <w:color w:val="28602F"/>
          <w:sz w:val="28"/>
          <w:szCs w:val="28"/>
        </w:rPr>
        <w:t>Host:</w:t>
      </w:r>
      <w:r w:rsidRPr="00F72EBC">
        <w:rPr>
          <w:rFonts w:ascii="Cambria" w:eastAsia="Cambria" w:hAnsi="Cambria" w:cs="Cambria"/>
          <w:b/>
          <w:color w:val="28602F"/>
          <w:sz w:val="28"/>
          <w:szCs w:val="28"/>
        </w:rPr>
        <w:tab/>
      </w:r>
      <w:r w:rsidR="00487175">
        <w:rPr>
          <w:rFonts w:ascii="Cambria" w:eastAsia="Cambria" w:hAnsi="Cambria" w:cs="Cambria"/>
          <w:b/>
          <w:color w:val="28602F"/>
          <w:sz w:val="28"/>
          <w:szCs w:val="28"/>
        </w:rPr>
        <w:t xml:space="preserve">Dr. </w:t>
      </w:r>
      <w:r w:rsidR="00036E36">
        <w:rPr>
          <w:rFonts w:ascii="Cambria" w:eastAsia="Cambria" w:hAnsi="Cambria" w:cs="Cambria"/>
          <w:b/>
          <w:color w:val="28602F"/>
          <w:sz w:val="28"/>
          <w:szCs w:val="28"/>
        </w:rPr>
        <w:t>Yang Liu</w:t>
      </w:r>
    </w:p>
    <w:p w14:paraId="5D417DA6" w14:textId="77777777" w:rsidR="001D40CB" w:rsidRPr="007A710E" w:rsidRDefault="001D40CB" w:rsidP="00AF270E">
      <w:pPr>
        <w:spacing w:line="276" w:lineRule="auto"/>
        <w:ind w:right="720"/>
        <w:jc w:val="center"/>
        <w:rPr>
          <w:rFonts w:ascii="Cambria" w:eastAsia="Cambria" w:hAnsi="Cambria" w:cs="Cambria"/>
          <w:b/>
          <w:color w:val="28602F"/>
          <w:sz w:val="18"/>
          <w:szCs w:val="24"/>
        </w:rPr>
      </w:pPr>
    </w:p>
    <w:p w14:paraId="347E35BA" w14:textId="054F470F" w:rsidR="00B15D79" w:rsidRDefault="00251D6B" w:rsidP="002E65A0">
      <w:pPr>
        <w:ind w:right="720"/>
        <w:contextualSpacing/>
        <w:jc w:val="center"/>
        <w:rPr>
          <w:rFonts w:ascii="Cambria" w:eastAsia="Cambria" w:hAnsi="Cambria" w:cs="Cambria"/>
          <w:b/>
          <w:color w:val="28602F"/>
          <w:sz w:val="28"/>
          <w:szCs w:val="26"/>
        </w:rPr>
      </w:pPr>
      <w:r w:rsidRPr="00F72EBC">
        <w:rPr>
          <w:rFonts w:ascii="Cambria" w:eastAsia="Cambria" w:hAnsi="Cambria" w:cs="Cambria"/>
          <w:b/>
          <w:color w:val="28602F"/>
          <w:sz w:val="28"/>
          <w:szCs w:val="26"/>
        </w:rPr>
        <w:t>ABSTRACT:</w:t>
      </w:r>
    </w:p>
    <w:p w14:paraId="4D65CBC9" w14:textId="77777777" w:rsidR="00D664AF" w:rsidRPr="00F72EBC" w:rsidRDefault="00D664AF" w:rsidP="002E65A0">
      <w:pPr>
        <w:ind w:right="720"/>
        <w:contextualSpacing/>
        <w:jc w:val="center"/>
        <w:rPr>
          <w:rFonts w:ascii="Cambria" w:eastAsia="Cambria" w:hAnsi="Cambria" w:cs="Cambria"/>
          <w:b/>
          <w:color w:val="28602F"/>
          <w:sz w:val="28"/>
          <w:szCs w:val="26"/>
        </w:rPr>
      </w:pPr>
    </w:p>
    <w:p w14:paraId="4D85859C" w14:textId="51BE2532" w:rsidR="003C4968" w:rsidRPr="00D664AF" w:rsidRDefault="00D664AF" w:rsidP="003C4968">
      <w:pPr>
        <w:ind w:right="720"/>
        <w:contextualSpacing/>
        <w:jc w:val="center"/>
        <w:rPr>
          <w:rFonts w:ascii="Cambria" w:eastAsia="Cambria" w:hAnsi="Cambria" w:cs="Cambria"/>
          <w:b/>
          <w:color w:val="28602F"/>
          <w:szCs w:val="24"/>
        </w:rPr>
      </w:pPr>
      <w:r w:rsidRPr="00D664AF">
        <w:rPr>
          <w:rFonts w:ascii="Cambria" w:eastAsia="Cambria" w:hAnsi="Cambria" w:cs="Cambria"/>
          <w:b/>
          <w:color w:val="28602F"/>
          <w:szCs w:val="24"/>
        </w:rPr>
        <w:t xml:space="preserve">Many government agencies still rely on the grouped data as the main source of information </w:t>
      </w:r>
      <w:bookmarkStart w:id="1" w:name="_GoBack"/>
      <w:bookmarkEnd w:id="1"/>
      <w:r w:rsidRPr="00D664AF">
        <w:rPr>
          <w:rFonts w:ascii="Cambria" w:eastAsia="Cambria" w:hAnsi="Cambria" w:cs="Cambria"/>
          <w:b/>
          <w:color w:val="28602F"/>
          <w:szCs w:val="24"/>
        </w:rPr>
        <w:t xml:space="preserve">for calculation of the Gini index. Previous research showed that the Gini index based on the grouped data suffers the first and second-order correction bias compared to the Gini index computed based on the individual data. Since the accuracy of the estimated correction bias is subject to many underlying assumptions, we propose a new method and name </w:t>
      </w:r>
      <w:proofErr w:type="gramStart"/>
      <w:r w:rsidRPr="00D664AF">
        <w:rPr>
          <w:rFonts w:ascii="Cambria" w:eastAsia="Cambria" w:hAnsi="Cambria" w:cs="Cambria"/>
          <w:b/>
          <w:color w:val="28602F"/>
          <w:szCs w:val="24"/>
        </w:rPr>
        <w:t>it</w:t>
      </w:r>
      <w:proofErr w:type="gramEnd"/>
      <w:r w:rsidRPr="00D664AF">
        <w:rPr>
          <w:rFonts w:ascii="Cambria" w:eastAsia="Cambria" w:hAnsi="Cambria" w:cs="Cambria"/>
          <w:b/>
          <w:color w:val="28602F"/>
          <w:szCs w:val="24"/>
        </w:rPr>
        <w:t xml:space="preserve"> D-Gini, which reduces the bias in Gini coefficient based on grouped data. We investigate the performance of the D-Gini method on an open-ended tail interval of the income distribution. The results of the simulation study showed that our method is very effective in minimizing the first and second order-bias in the Gini index and outperforms other methods previously used for the bias-correction of the Gini index based on grouped data. Three data sets are used to illustrate the application of this method.</w:t>
      </w:r>
    </w:p>
    <w:p w14:paraId="6371E5C3" w14:textId="77777777" w:rsidR="00D664AF" w:rsidRDefault="00D664AF" w:rsidP="003C4968">
      <w:pPr>
        <w:ind w:right="720"/>
        <w:contextualSpacing/>
        <w:jc w:val="center"/>
        <w:rPr>
          <w:rFonts w:ascii="Cambria" w:eastAsia="Cambria" w:hAnsi="Cambria" w:cs="Cambria"/>
          <w:b/>
          <w:color w:val="28602F"/>
          <w:sz w:val="28"/>
          <w:szCs w:val="28"/>
        </w:rPr>
      </w:pPr>
    </w:p>
    <w:p w14:paraId="3E5CB317" w14:textId="77777777" w:rsidR="00D664AF" w:rsidRDefault="00D664AF" w:rsidP="003C4968">
      <w:pPr>
        <w:ind w:right="720"/>
        <w:contextualSpacing/>
        <w:jc w:val="center"/>
        <w:rPr>
          <w:rFonts w:ascii="Cambria" w:eastAsia="Cambria" w:hAnsi="Cambria" w:cs="Cambria"/>
          <w:b/>
          <w:color w:val="28602F"/>
          <w:sz w:val="28"/>
          <w:szCs w:val="28"/>
        </w:rPr>
      </w:pPr>
    </w:p>
    <w:p w14:paraId="1663866B" w14:textId="238848C7" w:rsidR="00460D1F" w:rsidRDefault="00460D1F" w:rsidP="003C4968">
      <w:pPr>
        <w:ind w:right="720"/>
        <w:contextualSpacing/>
        <w:jc w:val="center"/>
        <w:rPr>
          <w:rFonts w:ascii="Cambria" w:eastAsia="Cambria" w:hAnsi="Cambria" w:cs="Cambria"/>
          <w:b/>
          <w:color w:val="28602F"/>
          <w:sz w:val="28"/>
          <w:szCs w:val="28"/>
        </w:rPr>
      </w:pPr>
      <w:r w:rsidRPr="00F72EBC">
        <w:rPr>
          <w:rFonts w:ascii="Cambria" w:eastAsia="Cambria" w:hAnsi="Cambria" w:cs="Cambria"/>
          <w:b/>
          <w:color w:val="28602F"/>
          <w:sz w:val="28"/>
          <w:szCs w:val="28"/>
        </w:rPr>
        <w:t>SPEAKER BIO:</w:t>
      </w:r>
    </w:p>
    <w:p w14:paraId="03287B0F" w14:textId="77777777" w:rsidR="00F92428" w:rsidRDefault="00F92428" w:rsidP="002E65A0">
      <w:pPr>
        <w:ind w:right="720"/>
        <w:contextualSpacing/>
        <w:jc w:val="center"/>
        <w:rPr>
          <w:rFonts w:ascii="Cambria" w:eastAsia="Cambria" w:hAnsi="Cambria" w:cs="Cambria"/>
          <w:color w:val="28602F"/>
          <w:sz w:val="18"/>
          <w:szCs w:val="28"/>
        </w:rPr>
      </w:pPr>
    </w:p>
    <w:p w14:paraId="2BE1CB8F" w14:textId="3816814A" w:rsidR="007A710E" w:rsidRPr="00D664AF" w:rsidRDefault="00D664AF" w:rsidP="007A710E">
      <w:pPr>
        <w:ind w:right="720"/>
        <w:contextualSpacing/>
        <w:jc w:val="both"/>
        <w:rPr>
          <w:rFonts w:ascii="Cambria" w:eastAsia="Cambria" w:hAnsi="Cambria" w:cs="Cambria"/>
          <w:bCs/>
          <w:color w:val="28602F"/>
          <w:szCs w:val="24"/>
        </w:rPr>
      </w:pPr>
      <w:r w:rsidRPr="00D664AF">
        <w:rPr>
          <w:rFonts w:ascii="Cambria" w:eastAsia="Cambria" w:hAnsi="Cambria" w:cs="Cambria"/>
          <w:bCs/>
          <w:color w:val="28602F"/>
          <w:szCs w:val="24"/>
        </w:rPr>
        <w:t>Dr. Tessa Chen is currently an assistant professor in the Department of Mathematics at the University of Dayton and the secretary for Statistical Programmers and Analysts Section in American Statistical Association. She received her Ph.D. in Statistics from Bowling Green State University in 2015 and spent two years as a visiting assistant professor in the Farmer School of Business at Miami University, Ohio prior to teaching at the University of Dayton. Her research interest focuses on applied machine learning, high performance computing, statistical modeling, and survival analysis.</w:t>
      </w:r>
    </w:p>
    <w:sectPr w:rsidR="007A710E" w:rsidRPr="00D664AF" w:rsidSect="007E511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79"/>
    <w:rsid w:val="0001569B"/>
    <w:rsid w:val="00036E36"/>
    <w:rsid w:val="00073CE2"/>
    <w:rsid w:val="00111F93"/>
    <w:rsid w:val="00114D56"/>
    <w:rsid w:val="00121C23"/>
    <w:rsid w:val="00121DAC"/>
    <w:rsid w:val="00160C43"/>
    <w:rsid w:val="001B14EC"/>
    <w:rsid w:val="001D40CB"/>
    <w:rsid w:val="0023587F"/>
    <w:rsid w:val="00251D6B"/>
    <w:rsid w:val="002956D3"/>
    <w:rsid w:val="002A5016"/>
    <w:rsid w:val="002C7674"/>
    <w:rsid w:val="002E65A0"/>
    <w:rsid w:val="00381B3F"/>
    <w:rsid w:val="003C4968"/>
    <w:rsid w:val="003D6C0A"/>
    <w:rsid w:val="003D6FFB"/>
    <w:rsid w:val="003E0FF6"/>
    <w:rsid w:val="003F009E"/>
    <w:rsid w:val="00460D1F"/>
    <w:rsid w:val="00471236"/>
    <w:rsid w:val="00487175"/>
    <w:rsid w:val="004B5E67"/>
    <w:rsid w:val="004C7976"/>
    <w:rsid w:val="004E2997"/>
    <w:rsid w:val="005577CF"/>
    <w:rsid w:val="005900CA"/>
    <w:rsid w:val="005C32C0"/>
    <w:rsid w:val="005D1B84"/>
    <w:rsid w:val="006B30C4"/>
    <w:rsid w:val="006C4C0E"/>
    <w:rsid w:val="00710474"/>
    <w:rsid w:val="007308FC"/>
    <w:rsid w:val="00743B9F"/>
    <w:rsid w:val="00763EDD"/>
    <w:rsid w:val="007A1C29"/>
    <w:rsid w:val="007A710E"/>
    <w:rsid w:val="007C3610"/>
    <w:rsid w:val="007E5110"/>
    <w:rsid w:val="007E53CE"/>
    <w:rsid w:val="007E76DA"/>
    <w:rsid w:val="008B65CB"/>
    <w:rsid w:val="008B6B39"/>
    <w:rsid w:val="0090332C"/>
    <w:rsid w:val="00934A02"/>
    <w:rsid w:val="00943463"/>
    <w:rsid w:val="00974CA1"/>
    <w:rsid w:val="009C3552"/>
    <w:rsid w:val="009D7523"/>
    <w:rsid w:val="009F42C3"/>
    <w:rsid w:val="00A446D7"/>
    <w:rsid w:val="00A905B3"/>
    <w:rsid w:val="00AA580D"/>
    <w:rsid w:val="00AD729D"/>
    <w:rsid w:val="00AF270E"/>
    <w:rsid w:val="00AF795C"/>
    <w:rsid w:val="00B03445"/>
    <w:rsid w:val="00B11A16"/>
    <w:rsid w:val="00B15D79"/>
    <w:rsid w:val="00B43722"/>
    <w:rsid w:val="00B529A3"/>
    <w:rsid w:val="00BC69F4"/>
    <w:rsid w:val="00BE288E"/>
    <w:rsid w:val="00BF6EDD"/>
    <w:rsid w:val="00C162C4"/>
    <w:rsid w:val="00C52838"/>
    <w:rsid w:val="00C61164"/>
    <w:rsid w:val="00C64DA6"/>
    <w:rsid w:val="00C90175"/>
    <w:rsid w:val="00C92CD2"/>
    <w:rsid w:val="00CB492D"/>
    <w:rsid w:val="00CD5385"/>
    <w:rsid w:val="00D379AE"/>
    <w:rsid w:val="00D664AF"/>
    <w:rsid w:val="00D72EFB"/>
    <w:rsid w:val="00D940CF"/>
    <w:rsid w:val="00D9501F"/>
    <w:rsid w:val="00DA5539"/>
    <w:rsid w:val="00DC37EB"/>
    <w:rsid w:val="00DF57F0"/>
    <w:rsid w:val="00DF6D70"/>
    <w:rsid w:val="00E23E18"/>
    <w:rsid w:val="00E5305D"/>
    <w:rsid w:val="00E726C8"/>
    <w:rsid w:val="00E843C3"/>
    <w:rsid w:val="00EC0D9B"/>
    <w:rsid w:val="00EC4D18"/>
    <w:rsid w:val="00ED1969"/>
    <w:rsid w:val="00EE226E"/>
    <w:rsid w:val="00F26716"/>
    <w:rsid w:val="00F31E3A"/>
    <w:rsid w:val="00F72EBC"/>
    <w:rsid w:val="00F92428"/>
    <w:rsid w:val="00FA172F"/>
    <w:rsid w:val="00FF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2797"/>
  <w15:docId w15:val="{1660EF11-9CE7-4FA2-88E7-5EDE4439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974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CA1"/>
    <w:rPr>
      <w:rFonts w:ascii="Segoe UI" w:hAnsi="Segoe UI" w:cs="Segoe UI"/>
      <w:sz w:val="18"/>
      <w:szCs w:val="18"/>
    </w:rPr>
  </w:style>
  <w:style w:type="character" w:styleId="PlaceholderText">
    <w:name w:val="Placeholder Text"/>
    <w:basedOn w:val="DefaultParagraphFont"/>
    <w:uiPriority w:val="99"/>
    <w:semiHidden/>
    <w:rsid w:val="00121D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237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Generic Form.docx</vt:lpstr>
    </vt:vector>
  </TitlesOfParts>
  <Company>Wright State University</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Form.docx</dc:title>
  <dc:creator>Christine Louise Krebs</dc:creator>
  <cp:lastModifiedBy>Schraeder, Lindsey Marie</cp:lastModifiedBy>
  <cp:revision>2</cp:revision>
  <cp:lastPrinted>2017-02-21T20:35:00Z</cp:lastPrinted>
  <dcterms:created xsi:type="dcterms:W3CDTF">2020-10-30T13:48:00Z</dcterms:created>
  <dcterms:modified xsi:type="dcterms:W3CDTF">2020-10-30T13:48:00Z</dcterms:modified>
</cp:coreProperties>
</file>