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E4" w:rsidRDefault="00AF6CC3" w:rsidP="00CB2434">
      <w:pPr>
        <w:rPr>
          <w:sz w:val="24"/>
          <w:szCs w:val="24"/>
        </w:rPr>
      </w:pPr>
      <w:r>
        <w:rPr>
          <w:sz w:val="24"/>
          <w:szCs w:val="24"/>
        </w:rPr>
        <w:t>R is quickly becoming one of the most popular kinds of statistic</w:t>
      </w:r>
      <w:r w:rsidR="00AF5DF6">
        <w:rPr>
          <w:sz w:val="24"/>
          <w:szCs w:val="24"/>
        </w:rPr>
        <w:t xml:space="preserve">al software </w:t>
      </w:r>
      <w:r>
        <w:rPr>
          <w:sz w:val="24"/>
          <w:szCs w:val="24"/>
        </w:rPr>
        <w:t xml:space="preserve">and </w:t>
      </w:r>
      <w:r w:rsidR="00AF5DF6">
        <w:rPr>
          <w:sz w:val="24"/>
          <w:szCs w:val="24"/>
        </w:rPr>
        <w:t xml:space="preserve">it </w:t>
      </w:r>
      <w:r>
        <w:rPr>
          <w:sz w:val="24"/>
          <w:szCs w:val="24"/>
        </w:rPr>
        <w:t>can be downloaded</w:t>
      </w:r>
      <w:proofErr w:type="gramStart"/>
      <w:r w:rsidR="00BF5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free</w:t>
      </w:r>
      <w:proofErr w:type="gramEnd"/>
      <w:r w:rsidR="00BF5E55">
        <w:rPr>
          <w:sz w:val="24"/>
          <w:szCs w:val="24"/>
        </w:rPr>
        <w:t xml:space="preserve"> of charge,</w:t>
      </w:r>
      <w:r>
        <w:rPr>
          <w:sz w:val="24"/>
          <w:szCs w:val="24"/>
        </w:rPr>
        <w:t xml:space="preserve"> by anyone who would like to use it.  The Statistical Consulting Center is offering an introductory hands-</w:t>
      </w:r>
      <w:r w:rsidR="00BF5E55">
        <w:rPr>
          <w:sz w:val="24"/>
          <w:szCs w:val="24"/>
        </w:rPr>
        <w:t>on tutorial using version 3.1 of</w:t>
      </w:r>
      <w:r>
        <w:rPr>
          <w:sz w:val="24"/>
          <w:szCs w:val="24"/>
        </w:rPr>
        <w:t xml:space="preserve"> R for Windows.  This </w:t>
      </w:r>
      <w:r w:rsidR="00CB6A9E">
        <w:rPr>
          <w:sz w:val="24"/>
          <w:szCs w:val="24"/>
        </w:rPr>
        <w:t>3</w:t>
      </w:r>
      <w:r>
        <w:rPr>
          <w:sz w:val="24"/>
          <w:szCs w:val="24"/>
        </w:rPr>
        <w:t xml:space="preserve"> hour tutorial has no prerequisites and assumes no prior knowledge of R.</w:t>
      </w:r>
    </w:p>
    <w:p w:rsidR="00FC62AB" w:rsidRDefault="00FC62AB" w:rsidP="00CB2434">
      <w:pPr>
        <w:rPr>
          <w:sz w:val="24"/>
          <w:szCs w:val="24"/>
        </w:rPr>
      </w:pP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Statistical Consulting Center </w:t>
      </w:r>
    </w:p>
    <w:p w:rsidR="00AF6CC3" w:rsidRPr="00563222" w:rsidRDefault="00AF6CC3" w:rsidP="00AF6CC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Presents:</w:t>
      </w:r>
    </w:p>
    <w:p w:rsidR="00AF6CC3" w:rsidRPr="00AF5DF6" w:rsidRDefault="00563222" w:rsidP="00AF6CC3">
      <w:pPr>
        <w:jc w:val="center"/>
        <w:rPr>
          <w:rFonts w:ascii="Britannic Bold" w:hAnsi="Britannic Bold"/>
          <w:b/>
          <w:color w:val="2E74B5" w:themeColor="accent1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5DF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Introductory R Programming</w:t>
      </w:r>
    </w:p>
    <w:p w:rsidR="00FC62AB" w:rsidRDefault="00FC62AB" w:rsidP="0056322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C3F26B" wp14:editId="5E37C12B">
            <wp:simplePos x="0" y="0"/>
            <wp:positionH relativeFrom="margin">
              <wp:posOffset>2933700</wp:posOffset>
            </wp:positionH>
            <wp:positionV relativeFrom="margin">
              <wp:posOffset>2999740</wp:posOffset>
            </wp:positionV>
            <wp:extent cx="3267710" cy="284797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3222" w:rsidRDefault="00563222" w:rsidP="005632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tutorial is free of charge.  Topics include: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and reading in data sets</w:t>
      </w:r>
      <w:r w:rsidR="00CD51C6">
        <w:rPr>
          <w:color w:val="000000" w:themeColor="text1"/>
          <w:sz w:val="24"/>
          <w:szCs w:val="24"/>
        </w:rPr>
        <w:t xml:space="preserve">                               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Generating descriptive statistics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plots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Correlation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Simple linear regression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Contingency tables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Chi-square test</w:t>
      </w:r>
    </w:p>
    <w:p w:rsidR="00563222" w:rsidRDefault="00794237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Reformatting data sets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Installing packages</w:t>
      </w:r>
    </w:p>
    <w:p w:rsidR="00CD51C6" w:rsidRDefault="00CD51C6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Using R as a calculator</w:t>
      </w:r>
    </w:p>
    <w:p w:rsidR="00CB2434" w:rsidRDefault="00CB2434" w:rsidP="00CB2434">
      <w:pPr>
        <w:pStyle w:val="ListParagraph"/>
        <w:rPr>
          <w:color w:val="000000" w:themeColor="text1"/>
          <w:sz w:val="24"/>
          <w:szCs w:val="24"/>
        </w:rPr>
      </w:pPr>
    </w:p>
    <w:p w:rsidR="00CB2434" w:rsidRPr="00CB2434" w:rsidRDefault="00CB243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  <w:r w:rsidRPr="00CB2434">
        <w:rPr>
          <w:rFonts w:ascii="Arial" w:hAnsi="Arial" w:cs="Arial"/>
        </w:rPr>
        <w:t>Registration is limited to 12 per class</w:t>
      </w:r>
      <w:r>
        <w:rPr>
          <w:rFonts w:ascii="Arial" w:hAnsi="Arial" w:cs="Arial"/>
        </w:rPr>
        <w:t xml:space="preserve"> and is limited to faculty, staff, and grad students</w:t>
      </w:r>
      <w:r w:rsidRPr="00CB2434">
        <w:rPr>
          <w:rFonts w:ascii="Arial" w:hAnsi="Arial" w:cs="Arial"/>
        </w:rPr>
        <w:t xml:space="preserve">.  </w:t>
      </w:r>
      <w:r w:rsidRPr="00CB2434">
        <w:rPr>
          <w:rFonts w:ascii="Arial" w:hAnsi="Arial" w:cs="Arial"/>
          <w:b/>
        </w:rPr>
        <w:t>You must be able to log onto WINGS using your WSU Username and Password.</w:t>
      </w:r>
      <w:r w:rsidRPr="00CB2434">
        <w:rPr>
          <w:rFonts w:ascii="Arial" w:hAnsi="Arial" w:cs="Arial"/>
        </w:rPr>
        <w:t xml:space="preserve">  Please call the SCC and register today for one of these upcoming tutorials.  The tutorial will be offered on the following days and times:</w:t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</w:p>
    <w:p w:rsidR="00CB2434" w:rsidRPr="00CB2434" w:rsidRDefault="00075242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February 5</w:t>
      </w:r>
      <w:r w:rsidR="00CB2434">
        <w:rPr>
          <w:rFonts w:ascii="Arial" w:hAnsi="Arial" w:cs="Arial"/>
        </w:rPr>
        <w:t xml:space="preserve">, 2016   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>
        <w:rPr>
          <w:rFonts w:ascii="Arial" w:hAnsi="Arial" w:cs="Arial"/>
        </w:rPr>
        <w:t xml:space="preserve">     and   2</w:t>
      </w:r>
      <w:r w:rsidR="00CB2434">
        <w:rPr>
          <w:rFonts w:ascii="Arial" w:hAnsi="Arial" w:cs="Arial"/>
        </w:rPr>
        <w:t>:00 PM – 4:00PM</w:t>
      </w:r>
    </w:p>
    <w:p w:rsidR="00CB2434" w:rsidRPr="00CB2434" w:rsidRDefault="00075242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February 12</w:t>
      </w:r>
      <w:r w:rsidR="00CB2434">
        <w:rPr>
          <w:rFonts w:ascii="Arial" w:hAnsi="Arial" w:cs="Arial"/>
        </w:rPr>
        <w:t>, 2016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>
        <w:rPr>
          <w:rFonts w:ascii="Arial" w:hAnsi="Arial" w:cs="Arial"/>
        </w:rPr>
        <w:t xml:space="preserve">     and   2</w:t>
      </w:r>
      <w:r w:rsidR="00CB2434">
        <w:rPr>
          <w:rFonts w:ascii="Arial" w:hAnsi="Arial" w:cs="Arial"/>
        </w:rPr>
        <w:t>:00 PM – 4:00PM</w:t>
      </w:r>
    </w:p>
    <w:p w:rsidR="00CB2434" w:rsidRPr="00CB2434" w:rsidRDefault="00075242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February 19</w:t>
      </w:r>
      <w:r w:rsidR="00CB2434">
        <w:rPr>
          <w:rFonts w:ascii="Arial" w:hAnsi="Arial" w:cs="Arial"/>
        </w:rPr>
        <w:t>, 2016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>
        <w:rPr>
          <w:rFonts w:ascii="Arial" w:hAnsi="Arial" w:cs="Arial"/>
        </w:rPr>
        <w:t xml:space="preserve">     and   2</w:t>
      </w:r>
      <w:r w:rsidR="00CB2434">
        <w:rPr>
          <w:rFonts w:ascii="Arial" w:hAnsi="Arial" w:cs="Arial"/>
        </w:rPr>
        <w:t>:00 PM – 4:00PM</w:t>
      </w:r>
    </w:p>
    <w:p w:rsidR="00CB2434" w:rsidRPr="00CB2434" w:rsidRDefault="00075242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February 26</w:t>
      </w:r>
      <w:r w:rsidR="00CB2434">
        <w:rPr>
          <w:rFonts w:ascii="Arial" w:hAnsi="Arial" w:cs="Arial"/>
        </w:rPr>
        <w:t>, 2016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>
        <w:rPr>
          <w:rFonts w:ascii="Arial" w:hAnsi="Arial" w:cs="Arial"/>
        </w:rPr>
        <w:t xml:space="preserve">     and   2</w:t>
      </w:r>
      <w:r w:rsidR="00CB2434">
        <w:rPr>
          <w:rFonts w:ascii="Arial" w:hAnsi="Arial" w:cs="Arial"/>
        </w:rPr>
        <w:t>:00 PM – 4:00PM</w:t>
      </w:r>
    </w:p>
    <w:p w:rsidR="00CB2434" w:rsidRPr="00CB2434" w:rsidRDefault="00CB2434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Pr="00CB2434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242">
        <w:rPr>
          <w:rFonts w:ascii="Arial" w:hAnsi="Arial" w:cs="Arial"/>
        </w:rPr>
        <w:t>10</w:t>
      </w:r>
      <w:r>
        <w:rPr>
          <w:rFonts w:ascii="Arial" w:hAnsi="Arial" w:cs="Arial"/>
        </w:rPr>
        <w:t>:00</w:t>
      </w:r>
      <w:r w:rsidRPr="00CB2434">
        <w:rPr>
          <w:rFonts w:ascii="Arial" w:hAnsi="Arial" w:cs="Arial"/>
        </w:rPr>
        <w:t>AM-12:00PM</w:t>
      </w:r>
      <w:r w:rsidR="00075242">
        <w:rPr>
          <w:rFonts w:ascii="Arial" w:hAnsi="Arial" w:cs="Arial"/>
        </w:rPr>
        <w:t xml:space="preserve">     and   2</w:t>
      </w:r>
      <w:r>
        <w:rPr>
          <w:rFonts w:ascii="Arial" w:hAnsi="Arial" w:cs="Arial"/>
        </w:rPr>
        <w:t>:00 PM – 4:00PM</w:t>
      </w:r>
    </w:p>
    <w:p w:rsidR="00CB2434" w:rsidRPr="00CB2434" w:rsidRDefault="00CB2434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March 11,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242">
        <w:rPr>
          <w:rFonts w:ascii="Arial" w:hAnsi="Arial" w:cs="Arial"/>
        </w:rPr>
        <w:t>10</w:t>
      </w:r>
      <w:r>
        <w:rPr>
          <w:rFonts w:ascii="Arial" w:hAnsi="Arial" w:cs="Arial"/>
        </w:rPr>
        <w:t>:00</w:t>
      </w:r>
      <w:r w:rsidRPr="00CB2434">
        <w:rPr>
          <w:rFonts w:ascii="Arial" w:hAnsi="Arial" w:cs="Arial"/>
        </w:rPr>
        <w:t>AM-12:00PM</w:t>
      </w:r>
      <w:r w:rsidR="00075242">
        <w:rPr>
          <w:rFonts w:ascii="Arial" w:hAnsi="Arial" w:cs="Arial"/>
        </w:rPr>
        <w:t xml:space="preserve">     and   2</w:t>
      </w:r>
      <w:bookmarkStart w:id="0" w:name="_GoBack"/>
      <w:bookmarkEnd w:id="0"/>
      <w:r>
        <w:rPr>
          <w:rFonts w:ascii="Arial" w:hAnsi="Arial" w:cs="Arial"/>
        </w:rPr>
        <w:t>:00 PM – 4:00PM</w:t>
      </w:r>
    </w:p>
    <w:p w:rsidR="00CB2434" w:rsidRPr="00CB2434" w:rsidRDefault="00CB2434" w:rsidP="00BD110C">
      <w:pPr>
        <w:spacing w:after="0"/>
        <w:ind w:right="-54"/>
        <w:rPr>
          <w:rFonts w:ascii="Arial" w:hAnsi="Arial" w:cs="Arial"/>
        </w:rPr>
      </w:pPr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 xml:space="preserve">170 Math &amp; Micro </w:t>
      </w:r>
      <w:proofErr w:type="spellStart"/>
      <w:r w:rsidRPr="00CB2434">
        <w:rPr>
          <w:rFonts w:ascii="Arial" w:hAnsi="Arial" w:cs="Arial"/>
        </w:rPr>
        <w:t>Bldg</w:t>
      </w:r>
      <w:proofErr w:type="spellEnd"/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To register, or if you have questions,</w:t>
      </w:r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Call: (937)775-4205</w:t>
      </w:r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proofErr w:type="gramStart"/>
      <w:r w:rsidRPr="00CB2434">
        <w:rPr>
          <w:rFonts w:ascii="Arial" w:hAnsi="Arial" w:cs="Arial"/>
        </w:rPr>
        <w:t>or</w:t>
      </w:r>
      <w:proofErr w:type="gramEnd"/>
    </w:p>
    <w:p w:rsidR="00CD51C6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  <w:b/>
        </w:rPr>
      </w:pPr>
      <w:r w:rsidRPr="00CB2434">
        <w:rPr>
          <w:rFonts w:ascii="Arial" w:hAnsi="Arial" w:cs="Arial"/>
        </w:rPr>
        <w:t xml:space="preserve">Email: </w:t>
      </w:r>
      <w:hyperlink r:id="rId7" w:history="1">
        <w:r w:rsidRPr="00CB2434">
          <w:rPr>
            <w:rStyle w:val="Hyperlink"/>
            <w:rFonts w:ascii="Arial" w:hAnsi="Arial" w:cs="Arial"/>
            <w:b/>
          </w:rPr>
          <w:t>mary.alspaugh@wright.edu</w:t>
        </w:r>
      </w:hyperlink>
    </w:p>
    <w:sectPr w:rsidR="00CD51C6" w:rsidRPr="00CB2434" w:rsidSect="00BD110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75242"/>
    <w:rsid w:val="00205771"/>
    <w:rsid w:val="003059E4"/>
    <w:rsid w:val="00563222"/>
    <w:rsid w:val="00750240"/>
    <w:rsid w:val="00794237"/>
    <w:rsid w:val="00A644B9"/>
    <w:rsid w:val="00AA0CAC"/>
    <w:rsid w:val="00AF5DF6"/>
    <w:rsid w:val="00AF6CC3"/>
    <w:rsid w:val="00B82745"/>
    <w:rsid w:val="00BD110C"/>
    <w:rsid w:val="00BF5E55"/>
    <w:rsid w:val="00CB2434"/>
    <w:rsid w:val="00CB6A9E"/>
    <w:rsid w:val="00CD51C6"/>
    <w:rsid w:val="00F5196A"/>
    <w:rsid w:val="00F91908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.alspaugh@wrigh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19FA-24AB-4B4D-ADE0-C2E6487C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Mary A. Alspaugh</cp:lastModifiedBy>
  <cp:revision>8</cp:revision>
  <cp:lastPrinted>2016-01-26T14:56:00Z</cp:lastPrinted>
  <dcterms:created xsi:type="dcterms:W3CDTF">2016-01-25T20:16:00Z</dcterms:created>
  <dcterms:modified xsi:type="dcterms:W3CDTF">2016-01-26T20:26:00Z</dcterms:modified>
</cp:coreProperties>
</file>