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CC5B" w14:textId="2B009BB3" w:rsidR="00BC6B8F" w:rsidRDefault="00B26BE3" w:rsidP="00B333EA">
      <w:pPr>
        <w:jc w:val="center"/>
        <w:rPr>
          <w:rFonts w:asciiTheme="majorHAnsi" w:eastAsiaTheme="majorEastAsia" w:hAnsiTheme="majorHAnsi" w:cstheme="majorBidi"/>
          <w:color w:val="17365D" w:themeColor="text2" w:themeShade="BF"/>
          <w:spacing w:val="5"/>
          <w:kern w:val="28"/>
          <w:sz w:val="52"/>
          <w:szCs w:val="52"/>
        </w:rPr>
      </w:pPr>
      <w:r w:rsidRPr="00B26BE3">
        <w:rPr>
          <w:rFonts w:asciiTheme="majorHAnsi" w:eastAsiaTheme="majorEastAsia" w:hAnsiTheme="majorHAnsi" w:cstheme="majorBidi"/>
          <w:noProof/>
          <w:color w:val="17365D" w:themeColor="text2" w:themeShade="BF"/>
          <w:spacing w:val="5"/>
          <w:kern w:val="28"/>
          <w:sz w:val="52"/>
          <w:szCs w:val="52"/>
        </w:rPr>
        <w:drawing>
          <wp:inline distT="0" distB="0" distL="0" distR="0" wp14:anchorId="5161EDC7" wp14:editId="039111EF">
            <wp:extent cx="3883331" cy="1837944"/>
            <wp:effectExtent l="0" t="0" r="3175" b="3810"/>
            <wp:docPr id="1315824369" name="Picture 1" descr="Wrigh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24369" name="Picture 1" descr="Wright State University logo"/>
                    <pic:cNvPicPr/>
                  </pic:nvPicPr>
                  <pic:blipFill>
                    <a:blip r:embed="rId6"/>
                    <a:stretch>
                      <a:fillRect/>
                    </a:stretch>
                  </pic:blipFill>
                  <pic:spPr>
                    <a:xfrm>
                      <a:off x="0" y="0"/>
                      <a:ext cx="3981314" cy="1884318"/>
                    </a:xfrm>
                    <a:prstGeom prst="rect">
                      <a:avLst/>
                    </a:prstGeom>
                  </pic:spPr>
                </pic:pic>
              </a:graphicData>
            </a:graphic>
          </wp:inline>
        </w:drawing>
      </w:r>
    </w:p>
    <w:p w14:paraId="09EA8762" w14:textId="77777777" w:rsidR="00B26BE3" w:rsidRDefault="00B26BE3" w:rsidP="00B333EA">
      <w:pPr>
        <w:jc w:val="center"/>
        <w:rPr>
          <w:rFonts w:asciiTheme="majorHAnsi" w:eastAsiaTheme="majorEastAsia" w:hAnsiTheme="majorHAnsi" w:cstheme="majorBidi"/>
          <w:color w:val="17365D" w:themeColor="text2" w:themeShade="BF"/>
          <w:spacing w:val="5"/>
          <w:kern w:val="28"/>
          <w:sz w:val="52"/>
          <w:szCs w:val="52"/>
        </w:rPr>
      </w:pPr>
    </w:p>
    <w:p w14:paraId="044FAAD0" w14:textId="5086F2F9" w:rsidR="00121516" w:rsidRDefault="00121516" w:rsidP="007E277A">
      <w:pPr>
        <w:rPr>
          <w:rFonts w:asciiTheme="majorHAnsi" w:eastAsiaTheme="majorEastAsia" w:hAnsiTheme="majorHAnsi" w:cstheme="majorBidi"/>
          <w:color w:val="17365D" w:themeColor="text2" w:themeShade="BF"/>
          <w:spacing w:val="5"/>
          <w:kern w:val="28"/>
          <w:sz w:val="52"/>
          <w:szCs w:val="52"/>
        </w:rPr>
      </w:pPr>
      <w:r w:rsidRPr="00121516">
        <w:rPr>
          <w:rFonts w:asciiTheme="majorHAnsi" w:eastAsiaTheme="majorEastAsia" w:hAnsiTheme="majorHAnsi" w:cstheme="majorBidi"/>
          <w:noProof/>
          <w:color w:val="17365D" w:themeColor="text2" w:themeShade="BF"/>
          <w:spacing w:val="5"/>
          <w:kern w:val="28"/>
          <w:sz w:val="52"/>
          <w:szCs w:val="52"/>
        </w:rPr>
        <w:drawing>
          <wp:inline distT="0" distB="0" distL="0" distR="0" wp14:anchorId="64241B6A" wp14:editId="3BF62C78">
            <wp:extent cx="5796915" cy="3163824"/>
            <wp:effectExtent l="0" t="0" r="0" b="0"/>
            <wp:docPr id="410305367" name="Picture 1" descr="The 2026 Celebration of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05367" name="Picture 1" descr="The 2026 Celebration of Research logo"/>
                    <pic:cNvPicPr/>
                  </pic:nvPicPr>
                  <pic:blipFill rotWithShape="1">
                    <a:blip r:embed="rId7"/>
                    <a:srcRect t="24292" b="21131"/>
                    <a:stretch>
                      <a:fillRect/>
                    </a:stretch>
                  </pic:blipFill>
                  <pic:spPr bwMode="auto">
                    <a:xfrm>
                      <a:off x="0" y="0"/>
                      <a:ext cx="5798310" cy="3164585"/>
                    </a:xfrm>
                    <a:prstGeom prst="rect">
                      <a:avLst/>
                    </a:prstGeom>
                    <a:ln>
                      <a:noFill/>
                    </a:ln>
                    <a:extLst>
                      <a:ext uri="{53640926-AAD7-44D8-BBD7-CCE9431645EC}">
                        <a14:shadowObscured xmlns:a14="http://schemas.microsoft.com/office/drawing/2010/main"/>
                      </a:ext>
                    </a:extLst>
                  </pic:spPr>
                </pic:pic>
              </a:graphicData>
            </a:graphic>
          </wp:inline>
        </w:drawing>
      </w:r>
    </w:p>
    <w:p w14:paraId="14F255B6" w14:textId="77777777" w:rsidR="00743436" w:rsidRDefault="00743436" w:rsidP="00307392">
      <w:pPr>
        <w:rPr>
          <w:rFonts w:asciiTheme="majorHAnsi" w:eastAsiaTheme="majorEastAsia" w:hAnsiTheme="majorHAnsi" w:cstheme="majorBidi"/>
          <w:b/>
          <w:bCs/>
          <w:color w:val="17365D" w:themeColor="text2" w:themeShade="BF"/>
          <w:spacing w:val="5"/>
          <w:kern w:val="28"/>
          <w:sz w:val="52"/>
          <w:szCs w:val="52"/>
        </w:rPr>
      </w:pPr>
    </w:p>
    <w:p w14:paraId="26A4A84F" w14:textId="2A017500" w:rsidR="00C26FBD" w:rsidRPr="00ED4527" w:rsidRDefault="00C26FBD" w:rsidP="00957434">
      <w:pPr>
        <w:jc w:val="center"/>
        <w:rPr>
          <w:rFonts w:asciiTheme="majorHAnsi" w:eastAsiaTheme="majorEastAsia" w:hAnsiTheme="majorHAnsi" w:cstheme="majorBidi"/>
          <w:b/>
          <w:bCs/>
          <w:color w:val="00482A"/>
          <w:spacing w:val="5"/>
          <w:kern w:val="28"/>
          <w:sz w:val="40"/>
          <w:szCs w:val="40"/>
        </w:rPr>
      </w:pPr>
      <w:r w:rsidRPr="00ED4527">
        <w:rPr>
          <w:rFonts w:asciiTheme="majorHAnsi" w:eastAsiaTheme="majorEastAsia" w:hAnsiTheme="majorHAnsi" w:cstheme="majorBidi"/>
          <w:b/>
          <w:bCs/>
          <w:color w:val="00482A"/>
          <w:spacing w:val="5"/>
          <w:kern w:val="28"/>
          <w:sz w:val="40"/>
          <w:szCs w:val="40"/>
        </w:rPr>
        <w:t>Sponsored by</w:t>
      </w:r>
    </w:p>
    <w:p w14:paraId="13791EA9" w14:textId="735CAC50" w:rsidR="00957434" w:rsidRPr="00307392" w:rsidRDefault="00957434" w:rsidP="00957434">
      <w:pPr>
        <w:jc w:val="center"/>
        <w:rPr>
          <w:rFonts w:asciiTheme="majorHAnsi" w:eastAsiaTheme="majorEastAsia" w:hAnsiTheme="majorHAnsi" w:cstheme="majorBidi"/>
          <w:color w:val="00482A"/>
          <w:spacing w:val="5"/>
          <w:kern w:val="28"/>
          <w:sz w:val="52"/>
          <w:szCs w:val="52"/>
        </w:rPr>
      </w:pPr>
      <w:r w:rsidRPr="00307392">
        <w:rPr>
          <w:rFonts w:asciiTheme="majorHAnsi" w:eastAsiaTheme="majorEastAsia" w:hAnsiTheme="majorHAnsi" w:cstheme="majorBidi"/>
          <w:color w:val="00482A"/>
          <w:spacing w:val="5"/>
          <w:kern w:val="28"/>
          <w:sz w:val="32"/>
          <w:szCs w:val="32"/>
        </w:rPr>
        <w:t>Research and Sponsored Program</w:t>
      </w:r>
      <w:r w:rsidR="00132288">
        <w:rPr>
          <w:rFonts w:asciiTheme="majorHAnsi" w:eastAsiaTheme="majorEastAsia" w:hAnsiTheme="majorHAnsi" w:cstheme="majorBidi"/>
          <w:color w:val="00482A"/>
          <w:spacing w:val="5"/>
          <w:kern w:val="28"/>
          <w:sz w:val="32"/>
          <w:szCs w:val="32"/>
        </w:rPr>
        <w:t>s</w:t>
      </w:r>
      <w:r w:rsidRPr="00307392">
        <w:rPr>
          <w:rFonts w:asciiTheme="majorHAnsi" w:eastAsiaTheme="majorEastAsia" w:hAnsiTheme="majorHAnsi" w:cstheme="majorBidi"/>
          <w:color w:val="00482A"/>
          <w:spacing w:val="5"/>
          <w:kern w:val="28"/>
          <w:sz w:val="32"/>
          <w:szCs w:val="32"/>
        </w:rPr>
        <w:t xml:space="preserve"> &amp; School of Graduate Studies</w:t>
      </w:r>
    </w:p>
    <w:p w14:paraId="06FB61B5" w14:textId="0F65DE5B" w:rsidR="002D16A8" w:rsidRPr="00C26FBD" w:rsidRDefault="002D16A8">
      <w:pPr>
        <w:rPr>
          <w:rFonts w:asciiTheme="majorHAnsi" w:eastAsiaTheme="majorEastAsia" w:hAnsiTheme="majorHAnsi" w:cstheme="majorBidi"/>
          <w:color w:val="17365D" w:themeColor="text2" w:themeShade="BF"/>
          <w:spacing w:val="5"/>
          <w:kern w:val="28"/>
          <w:sz w:val="44"/>
          <w:szCs w:val="44"/>
        </w:rPr>
      </w:pPr>
    </w:p>
    <w:p w14:paraId="56F45EE7" w14:textId="4679B68B" w:rsidR="00FD3288" w:rsidRDefault="00B15FFB" w:rsidP="00A50736">
      <w:pPr>
        <w:pStyle w:val="Heading1"/>
      </w:pPr>
      <w:r>
        <w:lastRenderedPageBreak/>
        <w:t>Schedule of Events</w:t>
      </w:r>
    </w:p>
    <w:p w14:paraId="2BEC2CDC" w14:textId="77777777" w:rsidR="00FF3518" w:rsidRPr="00690DF2" w:rsidRDefault="00FF3518" w:rsidP="00FF3518">
      <w:pPr>
        <w:spacing w:after="0" w:line="240" w:lineRule="auto"/>
        <w:ind w:left="-630" w:firstLine="630"/>
        <w:rPr>
          <w:rFonts w:ascii="Calibri" w:eastAsia="Times New Roman" w:hAnsi="Calibri" w:cs="Calibri"/>
          <w:b/>
          <w:sz w:val="24"/>
          <w:szCs w:val="24"/>
        </w:rPr>
      </w:pPr>
      <w:r w:rsidRPr="00690DF2">
        <w:rPr>
          <w:rFonts w:ascii="Calibri" w:eastAsia="Times New Roman" w:hAnsi="Calibri" w:cs="Calibri"/>
          <w:b/>
          <w:sz w:val="24"/>
          <w:szCs w:val="24"/>
        </w:rPr>
        <w:t>Wright State University Student Union</w:t>
      </w:r>
      <w:r>
        <w:rPr>
          <w:rFonts w:ascii="Calibri" w:eastAsia="Times New Roman" w:hAnsi="Calibri" w:cs="Calibri"/>
          <w:b/>
          <w:sz w:val="24"/>
          <w:szCs w:val="24"/>
        </w:rPr>
        <w:t xml:space="preserve"> – April 1, 2026</w:t>
      </w:r>
    </w:p>
    <w:tbl>
      <w:tblPr>
        <w:tblW w:w="9810" w:type="dxa"/>
        <w:tblInd w:w="-10" w:type="dxa"/>
        <w:tblLayout w:type="fixed"/>
        <w:tblCellMar>
          <w:left w:w="0" w:type="dxa"/>
          <w:right w:w="0" w:type="dxa"/>
        </w:tblCellMar>
        <w:tblLook w:val="0420" w:firstRow="1" w:lastRow="0" w:firstColumn="0" w:lastColumn="0" w:noHBand="0" w:noVBand="1"/>
      </w:tblPr>
      <w:tblGrid>
        <w:gridCol w:w="1170"/>
        <w:gridCol w:w="8640"/>
      </w:tblGrid>
      <w:tr w:rsidR="0096130B" w:rsidRPr="00AE6209" w14:paraId="71943E78" w14:textId="77777777" w:rsidTr="0096130B">
        <w:trPr>
          <w:trHeight w:val="383"/>
        </w:trPr>
        <w:tc>
          <w:tcPr>
            <w:tcW w:w="1170" w:type="dxa"/>
            <w:tcBorders>
              <w:top w:val="single" w:sz="8" w:space="0" w:color="000000"/>
              <w:left w:val="single" w:sz="8" w:space="0" w:color="000000"/>
              <w:bottom w:val="nil"/>
              <w:right w:val="single" w:sz="8" w:space="0" w:color="000000"/>
            </w:tcBorders>
            <w:tcMar>
              <w:top w:w="72" w:type="dxa"/>
              <w:left w:w="72" w:type="dxa"/>
              <w:bottom w:w="72" w:type="dxa"/>
              <w:right w:w="72" w:type="dxa"/>
            </w:tcMar>
            <w:hideMark/>
          </w:tcPr>
          <w:p w14:paraId="1E81CA17" w14:textId="77777777" w:rsidR="0096130B" w:rsidRPr="00AE6209" w:rsidRDefault="0096130B" w:rsidP="004E2A04">
            <w:pPr>
              <w:spacing w:after="0" w:line="223" w:lineRule="auto"/>
              <w:jc w:val="right"/>
              <w:rPr>
                <w:rFonts w:eastAsia="Times New Roman" w:cstheme="minorHAnsi"/>
              </w:rPr>
            </w:pPr>
            <w:r w:rsidRPr="00AE6209">
              <w:rPr>
                <w:rFonts w:eastAsia="Times New Roman" w:cstheme="minorHAnsi"/>
                <w:color w:val="000000" w:themeColor="text1"/>
                <w:kern w:val="24"/>
              </w:rPr>
              <w:t>8:30 a.m.</w:t>
            </w:r>
          </w:p>
        </w:tc>
        <w:tc>
          <w:tcPr>
            <w:tcW w:w="864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E55E68C" w14:textId="77777777" w:rsidR="0096130B" w:rsidRDefault="0096130B" w:rsidP="004E2A04">
            <w:pPr>
              <w:spacing w:after="0" w:line="223" w:lineRule="auto"/>
              <w:rPr>
                <w:rFonts w:eastAsia="Times New Roman" w:cstheme="minorHAnsi"/>
                <w:i/>
                <w:iCs/>
                <w:color w:val="000000" w:themeColor="text1"/>
                <w:kern w:val="24"/>
              </w:rPr>
            </w:pPr>
            <w:r w:rsidRPr="00AE6209">
              <w:rPr>
                <w:rFonts w:eastAsia="Times New Roman" w:cstheme="minorHAnsi"/>
                <w:color w:val="000000" w:themeColor="text1"/>
                <w:kern w:val="24"/>
              </w:rPr>
              <w:t>Check-in</w:t>
            </w:r>
            <w:r>
              <w:rPr>
                <w:rFonts w:eastAsia="Times New Roman" w:cstheme="minorHAnsi"/>
                <w:color w:val="000000" w:themeColor="text1"/>
                <w:kern w:val="24"/>
              </w:rPr>
              <w:t xml:space="preserve"> - </w:t>
            </w:r>
            <w:r w:rsidRPr="00FC0C3C">
              <w:rPr>
                <w:rFonts w:eastAsia="Times New Roman" w:cstheme="minorHAnsi"/>
                <w:i/>
                <w:iCs/>
                <w:color w:val="000000" w:themeColor="text1"/>
                <w:kern w:val="24"/>
              </w:rPr>
              <w:t>Skylight Lobby</w:t>
            </w:r>
          </w:p>
          <w:p w14:paraId="7432A9D9" w14:textId="207A7E6D" w:rsidR="0096130B" w:rsidRPr="00AE6209" w:rsidRDefault="0096130B" w:rsidP="004E2A04">
            <w:pPr>
              <w:spacing w:after="0" w:line="223" w:lineRule="auto"/>
              <w:rPr>
                <w:rFonts w:eastAsia="Times New Roman" w:cstheme="minorHAnsi"/>
              </w:rPr>
            </w:pPr>
            <w:r w:rsidRPr="00AE6209">
              <w:rPr>
                <w:rFonts w:eastAsia="Times New Roman" w:cstheme="minorHAnsi"/>
                <w:color w:val="000000" w:themeColor="text1"/>
                <w:kern w:val="24"/>
              </w:rPr>
              <w:t>Set Up</w:t>
            </w:r>
            <w:r>
              <w:rPr>
                <w:rFonts w:eastAsia="Times New Roman" w:cstheme="minorHAnsi"/>
              </w:rPr>
              <w:t xml:space="preserve"> – </w:t>
            </w:r>
            <w:r w:rsidRPr="00AE6209">
              <w:rPr>
                <w:rFonts w:eastAsia="Times New Roman" w:cstheme="minorHAnsi"/>
                <w:color w:val="000000" w:themeColor="text1"/>
                <w:kern w:val="24"/>
              </w:rPr>
              <w:t>Posters</w:t>
            </w:r>
            <w:r>
              <w:rPr>
                <w:rFonts w:eastAsia="Times New Roman" w:cstheme="minorHAnsi"/>
              </w:rPr>
              <w:t xml:space="preserve">, </w:t>
            </w:r>
            <w:r w:rsidRPr="00AE6209">
              <w:rPr>
                <w:rFonts w:eastAsia="Times New Roman" w:cstheme="minorHAnsi"/>
                <w:color w:val="000000" w:themeColor="text1"/>
                <w:kern w:val="24"/>
              </w:rPr>
              <w:t>Colleges/Schools and Core Facilities</w:t>
            </w:r>
            <w:r>
              <w:rPr>
                <w:rFonts w:eastAsia="Times New Roman" w:cstheme="minorHAnsi"/>
                <w:color w:val="000000" w:themeColor="text1"/>
                <w:kern w:val="24"/>
              </w:rPr>
              <w:t xml:space="preserve">  - </w:t>
            </w:r>
            <w:r w:rsidRPr="00FC0C3C">
              <w:rPr>
                <w:rFonts w:eastAsia="Times New Roman" w:cstheme="minorHAnsi"/>
                <w:i/>
                <w:iCs/>
                <w:color w:val="000000" w:themeColor="text1"/>
                <w:kern w:val="24"/>
              </w:rPr>
              <w:t>Apollo Room</w:t>
            </w:r>
          </w:p>
        </w:tc>
      </w:tr>
      <w:tr w:rsidR="0096130B" w:rsidRPr="00AE6209" w14:paraId="0C6D78B9" w14:textId="77777777" w:rsidTr="0096130B">
        <w:trPr>
          <w:trHeight w:val="652"/>
        </w:trPr>
        <w:tc>
          <w:tcPr>
            <w:tcW w:w="117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AD408FC" w14:textId="77777777" w:rsidR="0096130B" w:rsidRPr="00AE6209" w:rsidRDefault="0096130B" w:rsidP="004E2A04">
            <w:pPr>
              <w:spacing w:after="0" w:line="223" w:lineRule="auto"/>
              <w:jc w:val="right"/>
              <w:rPr>
                <w:rFonts w:eastAsia="Times New Roman" w:cstheme="minorHAnsi"/>
              </w:rPr>
            </w:pPr>
            <w:r w:rsidRPr="00AE6209">
              <w:rPr>
                <w:rFonts w:eastAsia="Times New Roman" w:cstheme="minorHAnsi"/>
                <w:color w:val="000000" w:themeColor="text1"/>
                <w:kern w:val="24"/>
              </w:rPr>
              <w:t>9:00 a.m.</w:t>
            </w:r>
          </w:p>
        </w:tc>
        <w:tc>
          <w:tcPr>
            <w:tcW w:w="864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6369AA2D" w14:textId="15396DD3" w:rsidR="0096130B" w:rsidRPr="00FC0C3C" w:rsidRDefault="0096130B" w:rsidP="00FC0C3C">
            <w:pPr>
              <w:spacing w:after="0" w:line="223" w:lineRule="auto"/>
              <w:rPr>
                <w:rFonts w:eastAsia="Times New Roman" w:cstheme="minorHAnsi"/>
                <w:color w:val="000000" w:themeColor="text1"/>
                <w:kern w:val="24"/>
              </w:rPr>
            </w:pPr>
            <w:r w:rsidRPr="00AE6209">
              <w:rPr>
                <w:rFonts w:eastAsia="Times New Roman" w:cstheme="minorHAnsi"/>
                <w:color w:val="000000" w:themeColor="text1"/>
                <w:kern w:val="24"/>
              </w:rPr>
              <w:t>Celebration Begins</w:t>
            </w:r>
            <w:r>
              <w:rPr>
                <w:rFonts w:eastAsia="Times New Roman" w:cstheme="minorHAnsi"/>
                <w:color w:val="000000" w:themeColor="text1"/>
                <w:kern w:val="24"/>
              </w:rPr>
              <w:t xml:space="preserve"> - </w:t>
            </w:r>
            <w:r w:rsidRPr="00FC0C3C">
              <w:rPr>
                <w:rFonts w:eastAsia="Times New Roman" w:cstheme="minorHAnsi"/>
                <w:i/>
                <w:iCs/>
                <w:color w:val="000000" w:themeColor="text1"/>
                <w:kern w:val="24"/>
              </w:rPr>
              <w:t>Endeavour Room</w:t>
            </w:r>
          </w:p>
          <w:p w14:paraId="67B25923" w14:textId="7F41343B" w:rsidR="0096130B" w:rsidRPr="00AE6209" w:rsidRDefault="0096130B" w:rsidP="00FF3518">
            <w:pPr>
              <w:numPr>
                <w:ilvl w:val="0"/>
                <w:numId w:val="11"/>
              </w:numPr>
              <w:spacing w:after="0" w:line="223" w:lineRule="auto"/>
              <w:ind w:left="389" w:hanging="389"/>
              <w:contextualSpacing/>
              <w:rPr>
                <w:rFonts w:eastAsia="Times New Roman" w:cstheme="minorHAnsi"/>
              </w:rPr>
            </w:pPr>
            <w:r w:rsidRPr="00AE6209">
              <w:rPr>
                <w:rFonts w:eastAsia="Times New Roman" w:cstheme="minorHAnsi"/>
                <w:color w:val="000000" w:themeColor="text1"/>
                <w:kern w:val="24"/>
              </w:rPr>
              <w:t xml:space="preserve">Welcome – Dr. Subhashini Ganapathy, </w:t>
            </w:r>
            <w:r>
              <w:rPr>
                <w:rFonts w:eastAsia="Times New Roman" w:cstheme="minorHAnsi"/>
                <w:color w:val="000000" w:themeColor="text1"/>
                <w:kern w:val="24"/>
              </w:rPr>
              <w:t>VPRI</w:t>
            </w:r>
          </w:p>
          <w:p w14:paraId="401276EC" w14:textId="77777777" w:rsidR="0096130B" w:rsidRPr="00AE6209" w:rsidRDefault="0096130B" w:rsidP="00FF3518">
            <w:pPr>
              <w:numPr>
                <w:ilvl w:val="0"/>
                <w:numId w:val="11"/>
              </w:numPr>
              <w:spacing w:after="0" w:line="223" w:lineRule="auto"/>
              <w:ind w:left="389" w:hanging="389"/>
              <w:contextualSpacing/>
              <w:rPr>
                <w:rFonts w:eastAsia="Times New Roman" w:cstheme="minorHAnsi"/>
              </w:rPr>
            </w:pPr>
            <w:r w:rsidRPr="00AE6209">
              <w:rPr>
                <w:rFonts w:eastAsia="Times New Roman" w:cstheme="minorHAnsi"/>
                <w:color w:val="000000" w:themeColor="text1"/>
                <w:kern w:val="24"/>
              </w:rPr>
              <w:t>Opening Remarks – Dr. Jim Denniston, Provost</w:t>
            </w:r>
          </w:p>
        </w:tc>
      </w:tr>
      <w:tr w:rsidR="0096130B" w:rsidRPr="00AE6209" w14:paraId="7264547A" w14:textId="77777777" w:rsidTr="0096130B">
        <w:trPr>
          <w:trHeight w:val="2069"/>
        </w:trPr>
        <w:tc>
          <w:tcPr>
            <w:tcW w:w="117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5EBD0AC0" w14:textId="77777777" w:rsidR="0096130B" w:rsidRPr="00AE6209" w:rsidRDefault="0096130B" w:rsidP="004E2A04">
            <w:pPr>
              <w:spacing w:after="0" w:line="223" w:lineRule="auto"/>
              <w:jc w:val="right"/>
              <w:rPr>
                <w:rFonts w:eastAsia="Times New Roman" w:cstheme="minorHAnsi"/>
              </w:rPr>
            </w:pPr>
            <w:r w:rsidRPr="00AE6209">
              <w:rPr>
                <w:rFonts w:eastAsia="Times New Roman" w:cstheme="minorHAnsi"/>
                <w:color w:val="000000" w:themeColor="text1"/>
                <w:kern w:val="24"/>
              </w:rPr>
              <w:t>9:15 a.m.</w:t>
            </w:r>
          </w:p>
        </w:tc>
        <w:tc>
          <w:tcPr>
            <w:tcW w:w="864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155254C6" w14:textId="204AE0EC" w:rsidR="0096130B" w:rsidRPr="00AE6209" w:rsidRDefault="0096130B" w:rsidP="004E2A04">
            <w:pPr>
              <w:spacing w:after="0" w:line="223" w:lineRule="auto"/>
              <w:ind w:left="389" w:hanging="389"/>
              <w:rPr>
                <w:rFonts w:eastAsia="Times New Roman" w:cstheme="minorHAnsi"/>
              </w:rPr>
            </w:pPr>
            <w:r w:rsidRPr="00AE6209">
              <w:rPr>
                <w:rFonts w:eastAsia="Times New Roman" w:cstheme="minorHAnsi"/>
                <w:color w:val="000000" w:themeColor="text1"/>
                <w:kern w:val="24"/>
              </w:rPr>
              <w:t>Plenary Speakers</w:t>
            </w:r>
          </w:p>
          <w:p w14:paraId="128AEE6C" w14:textId="77777777" w:rsidR="0096130B" w:rsidRPr="00AE6209" w:rsidRDefault="0096130B" w:rsidP="00FF3518">
            <w:pPr>
              <w:numPr>
                <w:ilvl w:val="0"/>
                <w:numId w:val="12"/>
              </w:numPr>
              <w:spacing w:after="0" w:line="223" w:lineRule="auto"/>
              <w:contextualSpacing/>
              <w:rPr>
                <w:rFonts w:eastAsia="Times New Roman" w:cstheme="minorHAnsi"/>
                <w:color w:val="000000" w:themeColor="text1"/>
                <w:kern w:val="24"/>
              </w:rPr>
            </w:pPr>
            <w:r w:rsidRPr="00AE6209">
              <w:rPr>
                <w:rFonts w:eastAsia="Times New Roman" w:cstheme="minorHAnsi"/>
                <w:b/>
                <w:bCs/>
                <w:color w:val="000000" w:themeColor="text1"/>
                <w:kern w:val="24"/>
              </w:rPr>
              <w:t>Christina Minassian</w:t>
            </w:r>
            <w:r w:rsidRPr="00AE6209">
              <w:rPr>
                <w:rFonts w:eastAsia="Times New Roman" w:cstheme="minorHAnsi"/>
                <w:color w:val="000000" w:themeColor="text1"/>
                <w:kern w:val="24"/>
              </w:rPr>
              <w:t xml:space="preserve"> – Investigating the Enhancer Effect of Membrane Trafficking Proteins on α-synuclein Toxicity in Yeast</w:t>
            </w:r>
            <w:r w:rsidRPr="00AE6209">
              <w:rPr>
                <w:rFonts w:eastAsia="Times New Roman" w:cstheme="minorHAnsi"/>
              </w:rPr>
              <w:t xml:space="preserve"> (</w:t>
            </w:r>
            <w:r w:rsidRPr="00AE6209">
              <w:rPr>
                <w:rFonts w:eastAsia="Times New Roman" w:cstheme="minorHAnsi"/>
                <w:color w:val="000000" w:themeColor="text1"/>
                <w:kern w:val="24"/>
              </w:rPr>
              <w:t>WSU 3MT Winner)</w:t>
            </w:r>
          </w:p>
          <w:p w14:paraId="76E96B70" w14:textId="77777777" w:rsidR="0096130B" w:rsidRPr="00AE6209" w:rsidRDefault="0096130B" w:rsidP="00FF3518">
            <w:pPr>
              <w:numPr>
                <w:ilvl w:val="0"/>
                <w:numId w:val="12"/>
              </w:numPr>
              <w:spacing w:after="0" w:line="223" w:lineRule="auto"/>
              <w:contextualSpacing/>
              <w:rPr>
                <w:rFonts w:eastAsia="Times New Roman" w:cstheme="minorHAnsi"/>
              </w:rPr>
            </w:pPr>
            <w:r w:rsidRPr="00AE6209">
              <w:rPr>
                <w:rFonts w:eastAsia="Times New Roman" w:cstheme="minorHAnsi"/>
                <w:b/>
                <w:bCs/>
                <w:color w:val="000000" w:themeColor="text1"/>
                <w:kern w:val="24"/>
              </w:rPr>
              <w:t>Avital Savin</w:t>
            </w:r>
            <w:r w:rsidRPr="00AE6209">
              <w:rPr>
                <w:rFonts w:eastAsia="Times New Roman" w:cstheme="minorHAnsi"/>
                <w:color w:val="000000" w:themeColor="text1"/>
                <w:kern w:val="24"/>
              </w:rPr>
              <w:t xml:space="preserve"> – Two functional inhibitors of acid sphingomyelinase, amitriptyline and imipramine, can reduce low fluence UVB-induced erythema in rosacea patients (</w:t>
            </w:r>
            <w:proofErr w:type="spellStart"/>
            <w:r w:rsidRPr="00AE6209">
              <w:rPr>
                <w:rFonts w:eastAsia="Times New Roman" w:cstheme="minorHAnsi"/>
                <w:color w:val="000000" w:themeColor="text1"/>
                <w:kern w:val="24"/>
              </w:rPr>
              <w:t>BSoM</w:t>
            </w:r>
            <w:proofErr w:type="spellEnd"/>
            <w:r w:rsidRPr="00AE6209">
              <w:rPr>
                <w:rFonts w:eastAsia="Times New Roman" w:cstheme="minorHAnsi"/>
                <w:color w:val="000000" w:themeColor="text1"/>
                <w:kern w:val="24"/>
              </w:rPr>
              <w:t>)</w:t>
            </w:r>
          </w:p>
          <w:p w14:paraId="73CBAF74" w14:textId="77777777" w:rsidR="0096130B" w:rsidRPr="00AE6209" w:rsidRDefault="0096130B" w:rsidP="00FF3518">
            <w:pPr>
              <w:numPr>
                <w:ilvl w:val="0"/>
                <w:numId w:val="12"/>
              </w:numPr>
              <w:spacing w:after="0" w:line="223" w:lineRule="auto"/>
              <w:contextualSpacing/>
              <w:rPr>
                <w:rFonts w:eastAsia="Times New Roman" w:cstheme="minorHAnsi"/>
              </w:rPr>
            </w:pPr>
            <w:r w:rsidRPr="00AE6209">
              <w:rPr>
                <w:rFonts w:eastAsia="Times New Roman" w:cstheme="minorHAnsi"/>
                <w:b/>
                <w:bCs/>
                <w:color w:val="000000" w:themeColor="text1"/>
                <w:kern w:val="24"/>
              </w:rPr>
              <w:t xml:space="preserve">Sujanthan </w:t>
            </w:r>
            <w:proofErr w:type="spellStart"/>
            <w:r w:rsidRPr="00AE6209">
              <w:rPr>
                <w:rFonts w:eastAsia="Times New Roman" w:cstheme="minorHAnsi"/>
                <w:b/>
                <w:bCs/>
                <w:color w:val="000000" w:themeColor="text1"/>
                <w:kern w:val="24"/>
              </w:rPr>
              <w:t>Sathiyalingam</w:t>
            </w:r>
            <w:proofErr w:type="spellEnd"/>
            <w:r w:rsidRPr="00AE6209">
              <w:rPr>
                <w:rFonts w:eastAsia="Times New Roman" w:cstheme="minorHAnsi"/>
                <w:b/>
                <w:bCs/>
                <w:color w:val="000000" w:themeColor="text1"/>
                <w:kern w:val="24"/>
              </w:rPr>
              <w:t xml:space="preserve"> and Ishan Dhakal</w:t>
            </w:r>
            <w:r w:rsidRPr="00AE6209">
              <w:rPr>
                <w:rFonts w:eastAsia="Times New Roman" w:cstheme="minorHAnsi"/>
                <w:color w:val="000000" w:themeColor="text1"/>
                <w:kern w:val="24"/>
              </w:rPr>
              <w:t xml:space="preserve"> – Helping Hand (</w:t>
            </w:r>
            <w:proofErr w:type="spellStart"/>
            <w:r w:rsidRPr="00AE6209">
              <w:rPr>
                <w:rFonts w:eastAsia="Times New Roman" w:cstheme="minorHAnsi"/>
                <w:color w:val="000000" w:themeColor="text1"/>
                <w:kern w:val="24"/>
              </w:rPr>
              <w:t>RSCoB</w:t>
            </w:r>
            <w:proofErr w:type="spellEnd"/>
            <w:r w:rsidRPr="00AE6209">
              <w:rPr>
                <w:rFonts w:eastAsia="Times New Roman" w:cstheme="minorHAnsi"/>
                <w:color w:val="000000" w:themeColor="text1"/>
                <w:kern w:val="24"/>
              </w:rPr>
              <w:t>)</w:t>
            </w:r>
          </w:p>
          <w:p w14:paraId="6816FA70" w14:textId="77777777" w:rsidR="0096130B" w:rsidRPr="00AE6209" w:rsidRDefault="0096130B" w:rsidP="00FF3518">
            <w:pPr>
              <w:numPr>
                <w:ilvl w:val="0"/>
                <w:numId w:val="12"/>
              </w:numPr>
              <w:spacing w:after="0" w:line="223" w:lineRule="auto"/>
              <w:contextualSpacing/>
              <w:rPr>
                <w:rFonts w:eastAsia="Times New Roman" w:cstheme="minorHAnsi"/>
              </w:rPr>
            </w:pPr>
            <w:r w:rsidRPr="00AE6209">
              <w:rPr>
                <w:rFonts w:eastAsia="Times New Roman" w:cstheme="minorHAnsi"/>
                <w:b/>
                <w:bCs/>
                <w:color w:val="000000" w:themeColor="text1"/>
                <w:kern w:val="24"/>
              </w:rPr>
              <w:t>Joshua Mallets</w:t>
            </w:r>
            <w:r w:rsidRPr="00AE6209">
              <w:rPr>
                <w:rFonts w:eastAsia="Times New Roman" w:cstheme="minorHAnsi"/>
                <w:color w:val="000000" w:themeColor="text1"/>
                <w:kern w:val="24"/>
              </w:rPr>
              <w:t xml:space="preserve"> – Microneedle Biosensors for Measurement of Biomarkers in the Interstitial Fluid (CECS)</w:t>
            </w:r>
          </w:p>
          <w:p w14:paraId="549279EC" w14:textId="77777777" w:rsidR="0096130B" w:rsidRPr="00AE6209" w:rsidRDefault="0096130B" w:rsidP="00FF3518">
            <w:pPr>
              <w:numPr>
                <w:ilvl w:val="0"/>
                <w:numId w:val="12"/>
              </w:numPr>
              <w:spacing w:after="0" w:line="223" w:lineRule="auto"/>
              <w:contextualSpacing/>
              <w:rPr>
                <w:rFonts w:eastAsia="Times New Roman" w:cstheme="minorHAnsi"/>
              </w:rPr>
            </w:pPr>
            <w:r w:rsidRPr="00AE6209">
              <w:rPr>
                <w:rFonts w:eastAsia="Times New Roman" w:cstheme="minorHAnsi"/>
                <w:b/>
                <w:bCs/>
                <w:color w:val="000000" w:themeColor="text1"/>
                <w:kern w:val="24"/>
              </w:rPr>
              <w:t>Laura Marker</w:t>
            </w:r>
            <w:r w:rsidRPr="00AE6209">
              <w:rPr>
                <w:rFonts w:eastAsia="Times New Roman" w:cstheme="minorHAnsi"/>
                <w:color w:val="000000" w:themeColor="text1"/>
                <w:kern w:val="24"/>
              </w:rPr>
              <w:t xml:space="preserve"> – Grit and Academic Survivors:  Persistence to Graduation Among College Seniors with GPAs Between 2.0 and 2.9 (CHEH)</w:t>
            </w:r>
          </w:p>
          <w:p w14:paraId="125C2768" w14:textId="77777777" w:rsidR="0096130B" w:rsidRPr="00AE6209" w:rsidRDefault="0096130B" w:rsidP="00FF3518">
            <w:pPr>
              <w:numPr>
                <w:ilvl w:val="0"/>
                <w:numId w:val="12"/>
              </w:numPr>
              <w:spacing w:after="0" w:line="223" w:lineRule="auto"/>
              <w:contextualSpacing/>
              <w:rPr>
                <w:rFonts w:eastAsia="Times New Roman" w:cstheme="minorHAnsi"/>
              </w:rPr>
            </w:pPr>
            <w:r w:rsidRPr="00AE6209">
              <w:rPr>
                <w:rFonts w:eastAsia="Times New Roman" w:cstheme="minorHAnsi"/>
                <w:b/>
                <w:bCs/>
                <w:color w:val="000000" w:themeColor="text1"/>
                <w:kern w:val="24"/>
              </w:rPr>
              <w:t>Bri Chan</w:t>
            </w:r>
            <w:r w:rsidRPr="00AE6209">
              <w:rPr>
                <w:rFonts w:eastAsia="Times New Roman" w:cstheme="minorHAnsi"/>
                <w:color w:val="000000" w:themeColor="text1"/>
                <w:kern w:val="24"/>
              </w:rPr>
              <w:t xml:space="preserve"> – Storytelling Through Movement (</w:t>
            </w:r>
            <w:proofErr w:type="spellStart"/>
            <w:r w:rsidRPr="00AE6209">
              <w:rPr>
                <w:rFonts w:eastAsia="Times New Roman" w:cstheme="minorHAnsi"/>
                <w:color w:val="000000" w:themeColor="text1"/>
                <w:kern w:val="24"/>
              </w:rPr>
              <w:t>CoLA</w:t>
            </w:r>
            <w:proofErr w:type="spellEnd"/>
            <w:r w:rsidRPr="00AE6209">
              <w:rPr>
                <w:rFonts w:eastAsia="Times New Roman" w:cstheme="minorHAnsi"/>
                <w:color w:val="000000" w:themeColor="text1"/>
                <w:kern w:val="24"/>
              </w:rPr>
              <w:t>)</w:t>
            </w:r>
          </w:p>
          <w:p w14:paraId="74607DFF" w14:textId="77777777" w:rsidR="0096130B" w:rsidRPr="00AE6209" w:rsidRDefault="0096130B" w:rsidP="00FF3518">
            <w:pPr>
              <w:numPr>
                <w:ilvl w:val="0"/>
                <w:numId w:val="12"/>
              </w:numPr>
              <w:tabs>
                <w:tab w:val="clear" w:pos="360"/>
                <w:tab w:val="num" w:pos="720"/>
              </w:tabs>
              <w:spacing w:after="0" w:line="223" w:lineRule="auto"/>
              <w:ind w:left="389" w:hanging="389"/>
              <w:contextualSpacing/>
              <w:rPr>
                <w:rFonts w:eastAsia="Times New Roman" w:cstheme="minorHAnsi"/>
              </w:rPr>
            </w:pPr>
            <w:r w:rsidRPr="00AE6209">
              <w:rPr>
                <w:rFonts w:eastAsia="Times New Roman" w:cstheme="minorHAnsi"/>
                <w:b/>
                <w:bCs/>
                <w:color w:val="000000" w:themeColor="text1"/>
                <w:kern w:val="24"/>
              </w:rPr>
              <w:t>Caroline McLaughlin</w:t>
            </w:r>
            <w:r w:rsidRPr="00AE6209">
              <w:rPr>
                <w:rFonts w:eastAsia="Times New Roman" w:cstheme="minorHAnsi"/>
                <w:color w:val="000000" w:themeColor="text1"/>
                <w:kern w:val="24"/>
              </w:rPr>
              <w:t xml:space="preserve"> – TIP60 regulation of PTEN expression and localization is associated with resistance to cisplatin in squamous cell carcinoma (CoSM)</w:t>
            </w:r>
          </w:p>
        </w:tc>
      </w:tr>
      <w:tr w:rsidR="0096130B" w:rsidRPr="00AE6209" w14:paraId="5DCFFB3F" w14:textId="77777777" w:rsidTr="0096130B">
        <w:trPr>
          <w:trHeight w:val="805"/>
        </w:trPr>
        <w:tc>
          <w:tcPr>
            <w:tcW w:w="117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E09CB41" w14:textId="77777777" w:rsidR="0096130B" w:rsidRPr="00AE6209" w:rsidRDefault="0096130B" w:rsidP="004E2A04">
            <w:pPr>
              <w:spacing w:after="0" w:line="223" w:lineRule="auto"/>
              <w:jc w:val="right"/>
              <w:rPr>
                <w:rFonts w:eastAsia="Times New Roman" w:cstheme="minorHAnsi"/>
              </w:rPr>
            </w:pPr>
            <w:r w:rsidRPr="00AE6209">
              <w:rPr>
                <w:rFonts w:eastAsia="Times New Roman" w:cstheme="minorHAnsi"/>
                <w:color w:val="000000" w:themeColor="text1"/>
                <w:kern w:val="24"/>
              </w:rPr>
              <w:t>11:00 a.m.</w:t>
            </w:r>
          </w:p>
        </w:tc>
        <w:tc>
          <w:tcPr>
            <w:tcW w:w="864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28C7248D" w14:textId="77777777" w:rsidR="0096130B" w:rsidRPr="00AE6209" w:rsidRDefault="0096130B" w:rsidP="004E2A04">
            <w:pPr>
              <w:spacing w:after="0" w:line="223" w:lineRule="auto"/>
              <w:ind w:left="389" w:hanging="389"/>
              <w:rPr>
                <w:rFonts w:eastAsia="Times New Roman" w:cstheme="minorHAnsi"/>
              </w:rPr>
            </w:pPr>
            <w:r w:rsidRPr="00AE6209">
              <w:rPr>
                <w:rFonts w:eastAsia="Times New Roman" w:cstheme="minorHAnsi"/>
                <w:color w:val="000000" w:themeColor="text1"/>
                <w:kern w:val="24"/>
              </w:rPr>
              <w:t>Data Blitz Session</w:t>
            </w:r>
          </w:p>
          <w:p w14:paraId="7AD207F1" w14:textId="77777777" w:rsidR="0096130B" w:rsidRPr="00AE6209" w:rsidRDefault="0096130B" w:rsidP="00FF3518">
            <w:pPr>
              <w:numPr>
                <w:ilvl w:val="0"/>
                <w:numId w:val="13"/>
              </w:numPr>
              <w:spacing w:after="0" w:line="223" w:lineRule="auto"/>
              <w:ind w:left="389" w:hanging="389"/>
              <w:contextualSpacing/>
              <w:rPr>
                <w:rFonts w:eastAsia="Times New Roman" w:cstheme="minorHAnsi"/>
              </w:rPr>
            </w:pPr>
            <w:r w:rsidRPr="00AE6209">
              <w:rPr>
                <w:rFonts w:eastAsia="Times New Roman" w:cstheme="minorHAnsi"/>
                <w:b/>
                <w:bCs/>
                <w:color w:val="000000" w:themeColor="text1"/>
                <w:kern w:val="24"/>
              </w:rPr>
              <w:t xml:space="preserve">Kavya </w:t>
            </w:r>
            <w:proofErr w:type="spellStart"/>
            <w:r w:rsidRPr="00AE6209">
              <w:rPr>
                <w:rFonts w:eastAsia="Times New Roman" w:cstheme="minorHAnsi"/>
                <w:b/>
                <w:bCs/>
                <w:color w:val="000000" w:themeColor="text1"/>
                <w:kern w:val="24"/>
              </w:rPr>
              <w:t>Lekkala</w:t>
            </w:r>
            <w:proofErr w:type="spellEnd"/>
            <w:r w:rsidRPr="00AE6209">
              <w:rPr>
                <w:rFonts w:eastAsia="Times New Roman" w:cstheme="minorHAnsi"/>
                <w:color w:val="000000" w:themeColor="text1"/>
                <w:kern w:val="24"/>
              </w:rPr>
              <w:t xml:space="preserve"> – Clinical Evidence of Association Between Type-2 Diabetes Mellitus and Hypothyroidism with Therapeutic Relevance – An Observational Study (</w:t>
            </w:r>
            <w:proofErr w:type="spellStart"/>
            <w:r w:rsidRPr="00AE6209">
              <w:rPr>
                <w:rFonts w:eastAsia="Times New Roman" w:cstheme="minorHAnsi"/>
                <w:color w:val="000000" w:themeColor="text1"/>
                <w:kern w:val="24"/>
              </w:rPr>
              <w:t>BSoM</w:t>
            </w:r>
            <w:proofErr w:type="spellEnd"/>
            <w:r w:rsidRPr="00AE6209">
              <w:rPr>
                <w:rFonts w:eastAsia="Times New Roman" w:cstheme="minorHAnsi"/>
                <w:color w:val="000000" w:themeColor="text1"/>
                <w:kern w:val="24"/>
              </w:rPr>
              <w:t xml:space="preserve">) </w:t>
            </w:r>
          </w:p>
          <w:p w14:paraId="668796C5" w14:textId="77777777" w:rsidR="0096130B" w:rsidRPr="00AE6209" w:rsidRDefault="0096130B" w:rsidP="00FF3518">
            <w:pPr>
              <w:numPr>
                <w:ilvl w:val="0"/>
                <w:numId w:val="13"/>
              </w:numPr>
              <w:spacing w:after="0" w:line="223" w:lineRule="auto"/>
              <w:ind w:left="389" w:hanging="389"/>
              <w:contextualSpacing/>
              <w:rPr>
                <w:rFonts w:eastAsia="Times New Roman" w:cstheme="minorHAnsi"/>
              </w:rPr>
            </w:pPr>
            <w:proofErr w:type="spellStart"/>
            <w:r w:rsidRPr="00AE6209">
              <w:rPr>
                <w:rFonts w:eastAsia="Times New Roman" w:cstheme="minorHAnsi"/>
                <w:b/>
                <w:bCs/>
              </w:rPr>
              <w:t>Mittalkumari</w:t>
            </w:r>
            <w:proofErr w:type="spellEnd"/>
            <w:r w:rsidRPr="00AE6209">
              <w:rPr>
                <w:rFonts w:eastAsia="Times New Roman" w:cstheme="minorHAnsi"/>
                <w:b/>
                <w:bCs/>
              </w:rPr>
              <w:t xml:space="preserve"> Chauhan</w:t>
            </w:r>
            <w:r w:rsidRPr="00AE6209">
              <w:rPr>
                <w:rFonts w:eastAsia="Times New Roman" w:cstheme="minorHAnsi"/>
              </w:rPr>
              <w:t xml:space="preserve"> – Arsenic Compound-Mediated Inhibition of Lung Cancer Growth: Mediators and Mechanistic Pathways Affecting Targeted Therapy (</w:t>
            </w:r>
            <w:proofErr w:type="spellStart"/>
            <w:r w:rsidRPr="00AE6209">
              <w:rPr>
                <w:rFonts w:eastAsia="Times New Roman" w:cstheme="minorHAnsi"/>
              </w:rPr>
              <w:t>BSoM</w:t>
            </w:r>
            <w:proofErr w:type="spellEnd"/>
            <w:r w:rsidRPr="00AE6209">
              <w:rPr>
                <w:rFonts w:eastAsia="Times New Roman" w:cstheme="minorHAnsi"/>
              </w:rPr>
              <w:t>)</w:t>
            </w:r>
          </w:p>
          <w:p w14:paraId="7AAFE4E5" w14:textId="77777777" w:rsidR="0096130B" w:rsidRPr="00AE6209" w:rsidRDefault="0096130B" w:rsidP="00FF3518">
            <w:pPr>
              <w:numPr>
                <w:ilvl w:val="0"/>
                <w:numId w:val="13"/>
              </w:numPr>
              <w:spacing w:after="0" w:line="223" w:lineRule="auto"/>
              <w:ind w:left="389" w:hanging="389"/>
              <w:contextualSpacing/>
              <w:rPr>
                <w:rFonts w:eastAsia="Times New Roman" w:cstheme="minorHAnsi"/>
              </w:rPr>
            </w:pPr>
            <w:r w:rsidRPr="00AE6209">
              <w:rPr>
                <w:rFonts w:eastAsia="Times New Roman" w:cstheme="minorHAnsi"/>
                <w:b/>
                <w:bCs/>
                <w:color w:val="000000" w:themeColor="text1"/>
                <w:kern w:val="24"/>
              </w:rPr>
              <w:t>Rithika Narendran</w:t>
            </w:r>
            <w:r w:rsidRPr="00AE6209">
              <w:rPr>
                <w:rFonts w:eastAsia="Times New Roman" w:cstheme="minorHAnsi"/>
                <w:color w:val="000000" w:themeColor="text1"/>
                <w:kern w:val="24"/>
              </w:rPr>
              <w:t xml:space="preserve"> – Adaptive Cluster Selection via Supervised Optimization (CECS) </w:t>
            </w:r>
          </w:p>
          <w:p w14:paraId="48ED2385" w14:textId="77777777" w:rsidR="0096130B" w:rsidRPr="00AE6209" w:rsidRDefault="0096130B" w:rsidP="00FF3518">
            <w:pPr>
              <w:numPr>
                <w:ilvl w:val="0"/>
                <w:numId w:val="13"/>
              </w:numPr>
              <w:spacing w:after="0" w:line="223" w:lineRule="auto"/>
              <w:ind w:left="389" w:hanging="389"/>
              <w:contextualSpacing/>
              <w:rPr>
                <w:rFonts w:eastAsia="Times New Roman" w:cstheme="minorHAnsi"/>
              </w:rPr>
            </w:pPr>
            <w:r w:rsidRPr="00AE6209">
              <w:rPr>
                <w:rFonts w:eastAsia="Times New Roman" w:cstheme="minorHAnsi"/>
                <w:b/>
                <w:bCs/>
                <w:color w:val="000000" w:themeColor="text1"/>
                <w:kern w:val="24"/>
              </w:rPr>
              <w:t>Subiksha Vaidhyanathan</w:t>
            </w:r>
            <w:r w:rsidRPr="00AE6209">
              <w:rPr>
                <w:rFonts w:eastAsia="Times New Roman" w:cstheme="minorHAnsi"/>
                <w:color w:val="000000" w:themeColor="text1"/>
                <w:kern w:val="24"/>
              </w:rPr>
              <w:t xml:space="preserve"> – Flow Survey Application: Enhancing Research Data Collection Through Android Development (CECS) </w:t>
            </w:r>
          </w:p>
          <w:p w14:paraId="4C788899" w14:textId="77777777" w:rsidR="0096130B" w:rsidRPr="00AE6209" w:rsidRDefault="0096130B" w:rsidP="00FF3518">
            <w:pPr>
              <w:numPr>
                <w:ilvl w:val="0"/>
                <w:numId w:val="13"/>
              </w:numPr>
              <w:spacing w:after="0" w:line="223" w:lineRule="auto"/>
              <w:ind w:left="389" w:hanging="389"/>
              <w:contextualSpacing/>
              <w:rPr>
                <w:rFonts w:eastAsia="Times New Roman" w:cstheme="minorHAnsi"/>
              </w:rPr>
            </w:pPr>
            <w:r w:rsidRPr="00AE6209">
              <w:rPr>
                <w:rFonts w:eastAsia="Times New Roman" w:cstheme="minorHAnsi"/>
                <w:b/>
                <w:bCs/>
                <w:color w:val="000000" w:themeColor="text1"/>
                <w:kern w:val="24"/>
              </w:rPr>
              <w:t xml:space="preserve">Malohat </w:t>
            </w:r>
            <w:proofErr w:type="spellStart"/>
            <w:r w:rsidRPr="00AE6209">
              <w:rPr>
                <w:rFonts w:eastAsia="Times New Roman" w:cstheme="minorHAnsi"/>
                <w:b/>
                <w:bCs/>
                <w:color w:val="000000" w:themeColor="text1"/>
                <w:kern w:val="24"/>
              </w:rPr>
              <w:t>Egamberdieva</w:t>
            </w:r>
            <w:proofErr w:type="spellEnd"/>
            <w:r w:rsidRPr="00AE6209">
              <w:rPr>
                <w:rFonts w:eastAsia="Times New Roman" w:cstheme="minorHAnsi"/>
                <w:color w:val="000000" w:themeColor="text1"/>
                <w:kern w:val="24"/>
              </w:rPr>
              <w:t xml:space="preserve"> – Effect of Cytoskeleton Binding Proteins on Alpha-Synuclein Toxicity in Yeast (CoSM)</w:t>
            </w:r>
          </w:p>
          <w:p w14:paraId="471D22E8" w14:textId="77777777" w:rsidR="0096130B" w:rsidRPr="00AE6209" w:rsidRDefault="0096130B" w:rsidP="00FF3518">
            <w:pPr>
              <w:numPr>
                <w:ilvl w:val="0"/>
                <w:numId w:val="13"/>
              </w:numPr>
              <w:spacing w:after="0" w:line="223" w:lineRule="auto"/>
              <w:ind w:left="389" w:hanging="389"/>
              <w:contextualSpacing/>
              <w:rPr>
                <w:rFonts w:eastAsia="Times New Roman" w:cstheme="minorHAnsi"/>
              </w:rPr>
            </w:pPr>
            <w:proofErr w:type="spellStart"/>
            <w:r w:rsidRPr="00AE6209">
              <w:rPr>
                <w:rFonts w:eastAsia="Times New Roman" w:cstheme="minorHAnsi"/>
                <w:b/>
                <w:bCs/>
                <w:color w:val="000000" w:themeColor="text1"/>
                <w:kern w:val="24"/>
              </w:rPr>
              <w:t>Togaa</w:t>
            </w:r>
            <w:proofErr w:type="spellEnd"/>
            <w:r w:rsidRPr="00AE6209">
              <w:rPr>
                <w:rFonts w:eastAsia="Times New Roman" w:cstheme="minorHAnsi"/>
                <w:b/>
                <w:bCs/>
                <w:color w:val="000000" w:themeColor="text1"/>
                <w:kern w:val="24"/>
              </w:rPr>
              <w:t xml:space="preserve"> </w:t>
            </w:r>
            <w:proofErr w:type="spellStart"/>
            <w:r w:rsidRPr="00AE6209">
              <w:rPr>
                <w:rFonts w:eastAsia="Times New Roman" w:cstheme="minorHAnsi"/>
                <w:b/>
                <w:bCs/>
                <w:color w:val="000000" w:themeColor="text1"/>
                <w:kern w:val="24"/>
              </w:rPr>
              <w:t>Khebreesh</w:t>
            </w:r>
            <w:proofErr w:type="spellEnd"/>
            <w:r w:rsidRPr="00AE6209">
              <w:rPr>
                <w:rFonts w:eastAsia="Times New Roman" w:cstheme="minorHAnsi"/>
                <w:color w:val="000000" w:themeColor="text1"/>
                <w:kern w:val="24"/>
              </w:rPr>
              <w:t xml:space="preserve"> – Beyond MS-222: Evaluating Alternative Anesthetics for Stress and Recovery in American Bullfrog Tadpoles (CoSM)</w:t>
            </w:r>
          </w:p>
          <w:p w14:paraId="43D10981" w14:textId="77777777" w:rsidR="0096130B" w:rsidRPr="00AE6209" w:rsidRDefault="0096130B" w:rsidP="00FF3518">
            <w:pPr>
              <w:numPr>
                <w:ilvl w:val="0"/>
                <w:numId w:val="13"/>
              </w:numPr>
              <w:spacing w:after="0" w:line="223" w:lineRule="auto"/>
              <w:ind w:left="389" w:hanging="389"/>
              <w:contextualSpacing/>
              <w:rPr>
                <w:rFonts w:eastAsia="Times New Roman" w:cstheme="minorHAnsi"/>
              </w:rPr>
            </w:pPr>
            <w:r w:rsidRPr="00AE6209">
              <w:rPr>
                <w:rFonts w:eastAsia="Times New Roman" w:cstheme="minorHAnsi"/>
                <w:b/>
                <w:bCs/>
                <w:color w:val="000000" w:themeColor="text1"/>
                <w:kern w:val="24"/>
              </w:rPr>
              <w:t>Aaron Cline</w:t>
            </w:r>
            <w:r w:rsidRPr="00AE6209">
              <w:rPr>
                <w:rFonts w:eastAsia="Times New Roman" w:cstheme="minorHAnsi"/>
                <w:color w:val="000000" w:themeColor="text1"/>
                <w:kern w:val="24"/>
              </w:rPr>
              <w:t xml:space="preserve"> – Elevating Fantasy by Using Science Fiction-Focused Critical Analysis (</w:t>
            </w:r>
            <w:proofErr w:type="spellStart"/>
            <w:r w:rsidRPr="00AE6209">
              <w:rPr>
                <w:rFonts w:eastAsia="Times New Roman" w:cstheme="minorHAnsi"/>
                <w:color w:val="000000" w:themeColor="text1"/>
                <w:kern w:val="24"/>
              </w:rPr>
              <w:t>CoLA</w:t>
            </w:r>
            <w:proofErr w:type="spellEnd"/>
            <w:r w:rsidRPr="00AE6209">
              <w:rPr>
                <w:rFonts w:eastAsia="Times New Roman" w:cstheme="minorHAnsi"/>
                <w:color w:val="000000" w:themeColor="text1"/>
                <w:kern w:val="24"/>
              </w:rPr>
              <w:t xml:space="preserve">) </w:t>
            </w:r>
          </w:p>
          <w:p w14:paraId="456670EE" w14:textId="77777777" w:rsidR="0096130B" w:rsidRPr="00AE6209" w:rsidRDefault="0096130B" w:rsidP="00FF3518">
            <w:pPr>
              <w:numPr>
                <w:ilvl w:val="0"/>
                <w:numId w:val="13"/>
              </w:numPr>
              <w:spacing w:after="0" w:line="223" w:lineRule="auto"/>
              <w:ind w:left="389" w:hanging="389"/>
              <w:contextualSpacing/>
              <w:rPr>
                <w:rFonts w:eastAsia="Times New Roman" w:cstheme="minorHAnsi"/>
              </w:rPr>
            </w:pPr>
            <w:r w:rsidRPr="00AE6209">
              <w:rPr>
                <w:rFonts w:eastAsia="Times New Roman" w:cstheme="minorHAnsi"/>
                <w:b/>
                <w:bCs/>
                <w:color w:val="000000" w:themeColor="text1"/>
                <w:kern w:val="24"/>
              </w:rPr>
              <w:t>Rebecca Kurtz</w:t>
            </w:r>
            <w:r w:rsidRPr="00AE6209">
              <w:rPr>
                <w:rFonts w:eastAsia="Times New Roman" w:cstheme="minorHAnsi"/>
                <w:color w:val="000000" w:themeColor="text1"/>
                <w:kern w:val="24"/>
              </w:rPr>
              <w:t xml:space="preserve"> – Stepping up the STEM Classroom:  Collaborative Investigations of the Vernal Pool Phenomenon  (CHEH) </w:t>
            </w:r>
          </w:p>
        </w:tc>
      </w:tr>
      <w:tr w:rsidR="0096130B" w:rsidRPr="00AE6209" w14:paraId="735ACF1B" w14:textId="77777777" w:rsidTr="0096130B">
        <w:trPr>
          <w:trHeight w:val="231"/>
        </w:trPr>
        <w:tc>
          <w:tcPr>
            <w:tcW w:w="117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EE6869E" w14:textId="77777777" w:rsidR="0096130B" w:rsidRPr="00AE6209" w:rsidRDefault="0096130B" w:rsidP="004E2A04">
            <w:pPr>
              <w:spacing w:after="0" w:line="223" w:lineRule="auto"/>
              <w:jc w:val="right"/>
              <w:rPr>
                <w:rFonts w:eastAsia="Times New Roman" w:cstheme="minorHAnsi"/>
              </w:rPr>
            </w:pPr>
            <w:r w:rsidRPr="00AE6209">
              <w:rPr>
                <w:rFonts w:eastAsia="Times New Roman" w:cstheme="minorHAnsi"/>
                <w:color w:val="000000" w:themeColor="text1"/>
                <w:kern w:val="24"/>
              </w:rPr>
              <w:t>11:30 a.m.</w:t>
            </w:r>
          </w:p>
        </w:tc>
        <w:tc>
          <w:tcPr>
            <w:tcW w:w="864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3CC71000" w14:textId="68F17C9E" w:rsidR="0096130B" w:rsidRPr="00AE6209" w:rsidRDefault="0096130B" w:rsidP="004E2A04">
            <w:pPr>
              <w:spacing w:after="0" w:line="223" w:lineRule="auto"/>
              <w:rPr>
                <w:rFonts w:eastAsia="Times New Roman" w:cstheme="minorHAnsi"/>
              </w:rPr>
            </w:pPr>
            <w:r w:rsidRPr="00AE6209">
              <w:rPr>
                <w:rFonts w:eastAsia="Times New Roman" w:cstheme="minorHAnsi"/>
                <w:color w:val="000000" w:themeColor="text1"/>
                <w:kern w:val="24"/>
              </w:rPr>
              <w:t>Lunch</w:t>
            </w:r>
            <w:r>
              <w:rPr>
                <w:rFonts w:eastAsia="Times New Roman" w:cstheme="minorHAnsi"/>
                <w:color w:val="000000" w:themeColor="text1"/>
                <w:kern w:val="24"/>
              </w:rPr>
              <w:t xml:space="preserve"> - </w:t>
            </w:r>
            <w:r w:rsidRPr="00FC0C3C">
              <w:rPr>
                <w:rFonts w:eastAsia="Times New Roman" w:cstheme="minorHAnsi"/>
                <w:i/>
                <w:iCs/>
              </w:rPr>
              <w:t>Union Market</w:t>
            </w:r>
          </w:p>
        </w:tc>
      </w:tr>
      <w:tr w:rsidR="0096130B" w:rsidRPr="00AE6209" w14:paraId="363A0833" w14:textId="77777777" w:rsidTr="0096130B">
        <w:trPr>
          <w:trHeight w:val="177"/>
        </w:trPr>
        <w:tc>
          <w:tcPr>
            <w:tcW w:w="117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7DC83903" w14:textId="77777777" w:rsidR="0096130B" w:rsidRPr="00AE6209" w:rsidRDefault="0096130B" w:rsidP="004E2A04">
            <w:pPr>
              <w:spacing w:after="0" w:line="223" w:lineRule="auto"/>
              <w:jc w:val="right"/>
              <w:rPr>
                <w:rFonts w:eastAsia="Times New Roman" w:cstheme="minorHAnsi"/>
              </w:rPr>
            </w:pPr>
            <w:r w:rsidRPr="00AE6209">
              <w:rPr>
                <w:rFonts w:eastAsia="Times New Roman" w:cstheme="minorHAnsi"/>
                <w:color w:val="000000" w:themeColor="text1"/>
                <w:kern w:val="24"/>
              </w:rPr>
              <w:t>12:30 p.m.</w:t>
            </w:r>
          </w:p>
        </w:tc>
        <w:tc>
          <w:tcPr>
            <w:tcW w:w="864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hideMark/>
          </w:tcPr>
          <w:p w14:paraId="05403230" w14:textId="60581A57" w:rsidR="0096130B" w:rsidRPr="00AE6209" w:rsidRDefault="0096130B" w:rsidP="004E2A04">
            <w:pPr>
              <w:spacing w:after="0" w:line="223" w:lineRule="auto"/>
              <w:rPr>
                <w:rFonts w:eastAsia="Times New Roman" w:cstheme="minorHAnsi"/>
              </w:rPr>
            </w:pPr>
            <w:r w:rsidRPr="00AE6209">
              <w:rPr>
                <w:rFonts w:eastAsia="Times New Roman" w:cstheme="minorHAnsi"/>
                <w:color w:val="000000" w:themeColor="text1"/>
                <w:kern w:val="24"/>
              </w:rPr>
              <w:t>Poster Session (2 hours)</w:t>
            </w:r>
            <w:r>
              <w:rPr>
                <w:rFonts w:eastAsia="Times New Roman" w:cstheme="minorHAnsi"/>
                <w:color w:val="000000" w:themeColor="text1"/>
                <w:kern w:val="24"/>
              </w:rPr>
              <w:t xml:space="preserve"> - </w:t>
            </w:r>
            <w:r w:rsidRPr="00FC0C3C">
              <w:rPr>
                <w:rFonts w:eastAsia="Times New Roman" w:cstheme="minorHAnsi"/>
                <w:i/>
                <w:iCs/>
                <w:color w:val="000000" w:themeColor="text1"/>
                <w:kern w:val="24"/>
              </w:rPr>
              <w:t>Apollo Room</w:t>
            </w:r>
          </w:p>
        </w:tc>
      </w:tr>
      <w:tr w:rsidR="0096130B" w:rsidRPr="00AE6209" w14:paraId="41E43EDD" w14:textId="77777777" w:rsidTr="0096130B">
        <w:trPr>
          <w:trHeight w:val="231"/>
        </w:trPr>
        <w:tc>
          <w:tcPr>
            <w:tcW w:w="117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6B5961B8" w14:textId="77777777" w:rsidR="0096130B" w:rsidRPr="00AE6209" w:rsidRDefault="0096130B" w:rsidP="004E2A04">
            <w:pPr>
              <w:spacing w:after="0" w:line="223" w:lineRule="auto"/>
              <w:jc w:val="right"/>
              <w:rPr>
                <w:rFonts w:eastAsia="Times New Roman" w:cstheme="minorHAnsi"/>
                <w:color w:val="000000" w:themeColor="text1"/>
                <w:kern w:val="24"/>
              </w:rPr>
            </w:pPr>
            <w:r w:rsidRPr="00AE6209">
              <w:rPr>
                <w:rFonts w:eastAsia="Times New Roman" w:cstheme="minorHAnsi"/>
                <w:color w:val="000000" w:themeColor="text1"/>
                <w:kern w:val="24"/>
              </w:rPr>
              <w:t>2:30 p.m.</w:t>
            </w:r>
          </w:p>
        </w:tc>
        <w:tc>
          <w:tcPr>
            <w:tcW w:w="864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5F06BDD6" w14:textId="307AE90E" w:rsidR="0096130B" w:rsidRPr="00AE6209" w:rsidRDefault="0096130B" w:rsidP="004E2A04">
            <w:pPr>
              <w:spacing w:after="0" w:line="223" w:lineRule="auto"/>
              <w:rPr>
                <w:rFonts w:eastAsia="Times New Roman" w:cstheme="minorHAnsi"/>
                <w:color w:val="000000" w:themeColor="text1"/>
                <w:kern w:val="24"/>
              </w:rPr>
            </w:pPr>
            <w:r w:rsidRPr="00AE6209">
              <w:rPr>
                <w:rFonts w:eastAsia="Times New Roman" w:cstheme="minorHAnsi"/>
                <w:color w:val="000000" w:themeColor="text1"/>
                <w:kern w:val="24"/>
              </w:rPr>
              <w:t xml:space="preserve">Award </w:t>
            </w:r>
            <w:r w:rsidR="00B13A89" w:rsidRPr="00AE6209">
              <w:rPr>
                <w:rFonts w:eastAsia="Times New Roman" w:cstheme="minorHAnsi"/>
                <w:color w:val="000000" w:themeColor="text1"/>
                <w:kern w:val="24"/>
              </w:rPr>
              <w:t xml:space="preserve">Presentation </w:t>
            </w:r>
            <w:r w:rsidR="00B13A89">
              <w:rPr>
                <w:rFonts w:eastAsia="Times New Roman" w:cstheme="minorHAnsi"/>
                <w:color w:val="000000" w:themeColor="text1"/>
                <w:kern w:val="24"/>
              </w:rPr>
              <w:t>-</w:t>
            </w:r>
            <w:r>
              <w:rPr>
                <w:rFonts w:eastAsia="Times New Roman" w:cstheme="minorHAnsi"/>
                <w:color w:val="000000" w:themeColor="text1"/>
                <w:kern w:val="24"/>
              </w:rPr>
              <w:t xml:space="preserve"> </w:t>
            </w:r>
            <w:r w:rsidRPr="001036FE">
              <w:rPr>
                <w:rFonts w:eastAsia="Times New Roman" w:cstheme="minorHAnsi"/>
                <w:i/>
                <w:iCs/>
              </w:rPr>
              <w:t>Endeavour Room</w:t>
            </w:r>
          </w:p>
        </w:tc>
      </w:tr>
      <w:tr w:rsidR="0096130B" w:rsidRPr="00AE6209" w14:paraId="4E10B3E2" w14:textId="77777777" w:rsidTr="0096130B">
        <w:trPr>
          <w:trHeight w:val="231"/>
        </w:trPr>
        <w:tc>
          <w:tcPr>
            <w:tcW w:w="117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6C4C8A8F" w14:textId="77777777" w:rsidR="0096130B" w:rsidRPr="00AE6209" w:rsidRDefault="0096130B" w:rsidP="004E2A04">
            <w:pPr>
              <w:spacing w:after="0" w:line="223" w:lineRule="auto"/>
              <w:jc w:val="right"/>
              <w:rPr>
                <w:rFonts w:eastAsia="Times New Roman" w:cstheme="minorHAnsi"/>
                <w:color w:val="000000" w:themeColor="text1"/>
                <w:kern w:val="24"/>
              </w:rPr>
            </w:pPr>
            <w:r w:rsidRPr="00AE6209">
              <w:rPr>
                <w:rFonts w:eastAsia="Times New Roman" w:cstheme="minorHAnsi"/>
                <w:color w:val="000000" w:themeColor="text1"/>
                <w:kern w:val="24"/>
              </w:rPr>
              <w:t>3:00 p.m.</w:t>
            </w:r>
          </w:p>
        </w:tc>
        <w:tc>
          <w:tcPr>
            <w:tcW w:w="8640"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4F6C8DD4" w14:textId="5F0390BE" w:rsidR="0096130B" w:rsidRPr="00AE6209" w:rsidRDefault="0096130B" w:rsidP="004E2A04">
            <w:pPr>
              <w:spacing w:after="0" w:line="223" w:lineRule="auto"/>
              <w:rPr>
                <w:rFonts w:eastAsia="Times New Roman" w:cstheme="minorHAnsi"/>
                <w:color w:val="000000" w:themeColor="text1"/>
                <w:kern w:val="24"/>
              </w:rPr>
            </w:pPr>
            <w:r w:rsidRPr="00AE6209">
              <w:rPr>
                <w:rFonts w:eastAsia="Times New Roman" w:cstheme="minorHAnsi"/>
                <w:color w:val="000000" w:themeColor="text1"/>
                <w:kern w:val="24"/>
              </w:rPr>
              <w:t>Conclusion</w:t>
            </w:r>
            <w:r>
              <w:rPr>
                <w:rFonts w:eastAsia="Times New Roman" w:cstheme="minorHAnsi"/>
                <w:color w:val="000000" w:themeColor="text1"/>
                <w:kern w:val="24"/>
              </w:rPr>
              <w:t xml:space="preserve"> -</w:t>
            </w:r>
            <w:r w:rsidRPr="00AE6209">
              <w:rPr>
                <w:rFonts w:eastAsia="Times New Roman" w:cstheme="minorHAnsi"/>
              </w:rPr>
              <w:t xml:space="preserve"> </w:t>
            </w:r>
            <w:r w:rsidRPr="001036FE">
              <w:rPr>
                <w:rFonts w:eastAsia="Times New Roman" w:cstheme="minorHAnsi"/>
                <w:i/>
                <w:iCs/>
              </w:rPr>
              <w:t>Endeavour Room</w:t>
            </w:r>
          </w:p>
        </w:tc>
      </w:tr>
    </w:tbl>
    <w:p w14:paraId="0E9B91B1" w14:textId="048BEC78" w:rsidR="002D16A8" w:rsidRDefault="002D16A8">
      <w:pPr>
        <w:rPr>
          <w:rFonts w:asciiTheme="majorHAnsi" w:eastAsiaTheme="majorEastAsia" w:hAnsiTheme="majorHAnsi" w:cstheme="majorBidi"/>
          <w:color w:val="17365D" w:themeColor="text2" w:themeShade="BF"/>
          <w:spacing w:val="5"/>
          <w:kern w:val="28"/>
          <w:sz w:val="52"/>
          <w:szCs w:val="52"/>
        </w:rPr>
      </w:pPr>
      <w:r>
        <w:br w:type="page"/>
      </w:r>
    </w:p>
    <w:p w14:paraId="4B06F6EA" w14:textId="69C390EC" w:rsidR="000421CA" w:rsidRDefault="000421CA" w:rsidP="00A50736">
      <w:pPr>
        <w:pStyle w:val="Heading1"/>
      </w:pPr>
      <w:r>
        <w:lastRenderedPageBreak/>
        <w:t xml:space="preserve">List of </w:t>
      </w:r>
      <w:r w:rsidR="00E21C2E">
        <w:t>Presenters</w:t>
      </w:r>
      <w:r>
        <w:t xml:space="preserve"> and Titles</w:t>
      </w:r>
    </w:p>
    <w:tbl>
      <w:tblPr>
        <w:tblStyle w:val="PlainTable3"/>
        <w:tblW w:w="9265" w:type="dxa"/>
        <w:tblLook w:val="04A0" w:firstRow="1" w:lastRow="0" w:firstColumn="1" w:lastColumn="0" w:noHBand="0" w:noVBand="1"/>
      </w:tblPr>
      <w:tblGrid>
        <w:gridCol w:w="2695"/>
        <w:gridCol w:w="957"/>
        <w:gridCol w:w="5613"/>
      </w:tblGrid>
      <w:tr w:rsidR="000421CA" w:rsidRPr="00C17426" w14:paraId="4E365038" w14:textId="77777777" w:rsidTr="00CC505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2695" w:type="dxa"/>
            <w:noWrap/>
            <w:hideMark/>
          </w:tcPr>
          <w:p w14:paraId="1896474E" w14:textId="77777777" w:rsidR="000421CA" w:rsidRPr="00DE07A1" w:rsidRDefault="000421CA" w:rsidP="0033709C">
            <w:pPr>
              <w:rPr>
                <w:rFonts w:eastAsia="Times New Roman" w:cs="Arial"/>
                <w:color w:val="000000" w:themeColor="text1"/>
                <w:sz w:val="20"/>
                <w:szCs w:val="20"/>
              </w:rPr>
            </w:pPr>
            <w:r w:rsidRPr="00DE07A1">
              <w:rPr>
                <w:rFonts w:eastAsia="Times New Roman" w:cs="Arial"/>
                <w:color w:val="000000" w:themeColor="text1"/>
                <w:sz w:val="20"/>
                <w:szCs w:val="20"/>
              </w:rPr>
              <w:t>Name</w:t>
            </w:r>
          </w:p>
        </w:tc>
        <w:tc>
          <w:tcPr>
            <w:tcW w:w="957" w:type="dxa"/>
            <w:noWrap/>
            <w:hideMark/>
          </w:tcPr>
          <w:p w14:paraId="583A3029" w14:textId="1B939210" w:rsidR="000421CA" w:rsidRPr="00DE07A1" w:rsidRDefault="002910A3" w:rsidP="002910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20"/>
                <w:szCs w:val="20"/>
              </w:rPr>
            </w:pPr>
            <w:r w:rsidRPr="002910A3">
              <w:rPr>
                <w:rFonts w:eastAsia="Times New Roman" w:cs="Arial"/>
                <w:color w:val="000000" w:themeColor="text1"/>
                <w:sz w:val="20"/>
                <w:szCs w:val="20"/>
              </w:rPr>
              <w:t>Poster #</w:t>
            </w:r>
          </w:p>
        </w:tc>
        <w:tc>
          <w:tcPr>
            <w:tcW w:w="5613" w:type="dxa"/>
            <w:hideMark/>
          </w:tcPr>
          <w:p w14:paraId="4B5670E8" w14:textId="77777777" w:rsidR="000421CA" w:rsidRPr="00DE07A1" w:rsidRDefault="000421CA" w:rsidP="0033709C">
            <w:pP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20"/>
                <w:szCs w:val="20"/>
              </w:rPr>
            </w:pPr>
            <w:r w:rsidRPr="00DE07A1">
              <w:rPr>
                <w:rFonts w:eastAsia="Times New Roman" w:cs="Arial"/>
                <w:color w:val="000000" w:themeColor="text1"/>
                <w:sz w:val="20"/>
                <w:szCs w:val="20"/>
              </w:rPr>
              <w:t>Title</w:t>
            </w:r>
          </w:p>
        </w:tc>
      </w:tr>
      <w:tr w:rsidR="000421CA" w:rsidRPr="00C17426" w14:paraId="49101D57"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4B04951"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Abdellatif, Badia A</w:t>
            </w:r>
          </w:p>
        </w:tc>
        <w:tc>
          <w:tcPr>
            <w:tcW w:w="957" w:type="dxa"/>
            <w:noWrap/>
            <w:hideMark/>
          </w:tcPr>
          <w:p w14:paraId="49F95B27" w14:textId="2FF6D179" w:rsidR="000421CA" w:rsidRPr="00DE07A1" w:rsidRDefault="008741EF"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w:t>
            </w:r>
          </w:p>
        </w:tc>
        <w:tc>
          <w:tcPr>
            <w:tcW w:w="5613" w:type="dxa"/>
            <w:hideMark/>
          </w:tcPr>
          <w:p w14:paraId="7E2ABFE1"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Imagining Communities and Redefining Homeland</w:t>
            </w:r>
          </w:p>
        </w:tc>
      </w:tr>
      <w:tr w:rsidR="000421CA" w:rsidRPr="00C17426" w14:paraId="07588077"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A425D2A"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Addala, Anisha Vidyani</w:t>
            </w:r>
          </w:p>
        </w:tc>
        <w:tc>
          <w:tcPr>
            <w:tcW w:w="957" w:type="dxa"/>
            <w:noWrap/>
            <w:hideMark/>
          </w:tcPr>
          <w:p w14:paraId="2EFCBD78" w14:textId="0A593D3E" w:rsidR="000421CA" w:rsidRPr="00DE07A1" w:rsidRDefault="0005565E"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w:t>
            </w:r>
          </w:p>
        </w:tc>
        <w:tc>
          <w:tcPr>
            <w:tcW w:w="5613" w:type="dxa"/>
            <w:hideMark/>
          </w:tcPr>
          <w:p w14:paraId="30FD7AB0"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Delineating Cellular Mechanisms Influencing Antiangiogenic-based Therapy for Lung Cancer </w:t>
            </w:r>
          </w:p>
        </w:tc>
      </w:tr>
      <w:tr w:rsidR="000421CA" w:rsidRPr="00C17426" w14:paraId="5B5C7471"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945167E"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Adhikari, Prabhat</w:t>
            </w:r>
          </w:p>
        </w:tc>
        <w:tc>
          <w:tcPr>
            <w:tcW w:w="957" w:type="dxa"/>
            <w:noWrap/>
            <w:hideMark/>
          </w:tcPr>
          <w:p w14:paraId="1A7CC1A2" w14:textId="61334A57" w:rsidR="000421CA" w:rsidRPr="00DE07A1" w:rsidRDefault="0005565E"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103-1</w:t>
            </w:r>
          </w:p>
        </w:tc>
        <w:tc>
          <w:tcPr>
            <w:tcW w:w="5613" w:type="dxa"/>
            <w:hideMark/>
          </w:tcPr>
          <w:p w14:paraId="3F1D1FDF"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Fixed Point Analysis Across KG &amp; Word Embeddings</w:t>
            </w:r>
          </w:p>
        </w:tc>
      </w:tr>
      <w:tr w:rsidR="000421CA" w:rsidRPr="00C17426" w14:paraId="150E092F"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4EC095E"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Aggarwal, Divyanshu</w:t>
            </w:r>
          </w:p>
        </w:tc>
        <w:tc>
          <w:tcPr>
            <w:tcW w:w="957" w:type="dxa"/>
            <w:noWrap/>
            <w:hideMark/>
          </w:tcPr>
          <w:p w14:paraId="6E30075B" w14:textId="07B7C453" w:rsidR="000421CA" w:rsidRPr="00DE07A1" w:rsidRDefault="0005565E"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w:t>
            </w:r>
          </w:p>
        </w:tc>
        <w:tc>
          <w:tcPr>
            <w:tcW w:w="5613" w:type="dxa"/>
            <w:hideMark/>
          </w:tcPr>
          <w:p w14:paraId="43970E57"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Platelet-activating factor-receptor pathway mediates solar radiation-induced extracellular vesicle release in human keratinocytes</w:t>
            </w:r>
          </w:p>
        </w:tc>
      </w:tr>
      <w:tr w:rsidR="000421CA" w:rsidRPr="00C17426" w14:paraId="774A7E41"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68300ED"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Ahnouch, Reda</w:t>
            </w:r>
          </w:p>
        </w:tc>
        <w:tc>
          <w:tcPr>
            <w:tcW w:w="957" w:type="dxa"/>
            <w:noWrap/>
            <w:hideMark/>
          </w:tcPr>
          <w:p w14:paraId="7AC76E6B" w14:textId="2FF35A07" w:rsidR="000421CA" w:rsidRPr="00DE07A1" w:rsidRDefault="0005565E"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w:t>
            </w:r>
          </w:p>
        </w:tc>
        <w:tc>
          <w:tcPr>
            <w:tcW w:w="5613" w:type="dxa"/>
            <w:hideMark/>
          </w:tcPr>
          <w:p w14:paraId="4FE3F568"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Lippmann–Schwinger Approach to Electron–Phonon Binding in Solid-State Materials </w:t>
            </w:r>
          </w:p>
        </w:tc>
      </w:tr>
      <w:tr w:rsidR="000421CA" w:rsidRPr="00C17426" w14:paraId="7926369B" w14:textId="77777777" w:rsidTr="00CC5058">
        <w:trPr>
          <w:trHeight w:val="539"/>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FDA7DE5"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Akhter, Rumana</w:t>
            </w:r>
          </w:p>
        </w:tc>
        <w:tc>
          <w:tcPr>
            <w:tcW w:w="957" w:type="dxa"/>
            <w:noWrap/>
            <w:hideMark/>
          </w:tcPr>
          <w:p w14:paraId="7C1CA4D0" w14:textId="25D18906" w:rsidR="000421CA" w:rsidRPr="00DE07A1" w:rsidRDefault="0005565E"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5</w:t>
            </w:r>
          </w:p>
        </w:tc>
        <w:tc>
          <w:tcPr>
            <w:tcW w:w="5613" w:type="dxa"/>
            <w:hideMark/>
          </w:tcPr>
          <w:p w14:paraId="71EBABAE"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Cardiorenal Consequences of Chronic Lead Exposure: Pathophysiology, Early Biomarkers, and Therapeutic Strategies </w:t>
            </w:r>
          </w:p>
        </w:tc>
      </w:tr>
      <w:tr w:rsidR="000421CA" w:rsidRPr="00C17426" w14:paraId="3DCDF3FF"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A09D703"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Arora, Harleen Kaur</w:t>
            </w:r>
          </w:p>
        </w:tc>
        <w:tc>
          <w:tcPr>
            <w:tcW w:w="957" w:type="dxa"/>
            <w:noWrap/>
            <w:hideMark/>
          </w:tcPr>
          <w:p w14:paraId="768A6DEC" w14:textId="728273C8" w:rsidR="000421CA" w:rsidRPr="00DE07A1" w:rsidRDefault="0005565E"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w:t>
            </w:r>
          </w:p>
        </w:tc>
        <w:tc>
          <w:tcPr>
            <w:tcW w:w="5613" w:type="dxa"/>
            <w:hideMark/>
          </w:tcPr>
          <w:p w14:paraId="37A7DCCA"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Environmental and Hormonal Signals Regulate Antibody Production in Human B Cells</w:t>
            </w:r>
          </w:p>
        </w:tc>
      </w:tr>
      <w:tr w:rsidR="000421CA" w:rsidRPr="00C17426" w14:paraId="50EA9AD8" w14:textId="77777777" w:rsidTr="00CC5058">
        <w:trPr>
          <w:trHeight w:val="548"/>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1164379"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Azhagappan, Santhosh</w:t>
            </w:r>
          </w:p>
        </w:tc>
        <w:tc>
          <w:tcPr>
            <w:tcW w:w="957" w:type="dxa"/>
            <w:noWrap/>
            <w:hideMark/>
          </w:tcPr>
          <w:p w14:paraId="6E273785" w14:textId="11A0C03D" w:rsidR="000421CA" w:rsidRPr="00DE07A1" w:rsidRDefault="0005565E"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w:t>
            </w:r>
          </w:p>
        </w:tc>
        <w:tc>
          <w:tcPr>
            <w:tcW w:w="5613" w:type="dxa"/>
            <w:hideMark/>
          </w:tcPr>
          <w:p w14:paraId="7189DCDA"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Artificial Intelligence in Pharmacological Cancer Diagnosis: Imaging, Pathology, and Biomarker-Driven Therapy Selection</w:t>
            </w:r>
          </w:p>
        </w:tc>
      </w:tr>
      <w:tr w:rsidR="000421CA" w:rsidRPr="00C17426" w14:paraId="76B6F625" w14:textId="77777777" w:rsidTr="00CC505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3432FDA"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Bacon, Isabella</w:t>
            </w:r>
          </w:p>
        </w:tc>
        <w:tc>
          <w:tcPr>
            <w:tcW w:w="957" w:type="dxa"/>
            <w:noWrap/>
            <w:hideMark/>
          </w:tcPr>
          <w:p w14:paraId="538FA0CD" w14:textId="5EFB8BF2" w:rsidR="000421CA" w:rsidRPr="00DE07A1" w:rsidRDefault="0005565E"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w:t>
            </w:r>
          </w:p>
        </w:tc>
        <w:tc>
          <w:tcPr>
            <w:tcW w:w="5613" w:type="dxa"/>
            <w:hideMark/>
          </w:tcPr>
          <w:p w14:paraId="4818B3CF"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Risk factors, Co-morbidities, and the need for rigorous stratification in Pregnancy associated disorders</w:t>
            </w:r>
          </w:p>
        </w:tc>
      </w:tr>
      <w:tr w:rsidR="000421CA" w:rsidRPr="00C17426" w14:paraId="57CF6D16"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40DE37F"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Bailey, Rhett Joseph</w:t>
            </w:r>
          </w:p>
        </w:tc>
        <w:tc>
          <w:tcPr>
            <w:tcW w:w="957" w:type="dxa"/>
            <w:noWrap/>
            <w:hideMark/>
          </w:tcPr>
          <w:p w14:paraId="03DD7B4C" w14:textId="7334AE0F" w:rsidR="000421CA" w:rsidRPr="00DE07A1" w:rsidRDefault="0005565E"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w:t>
            </w:r>
          </w:p>
        </w:tc>
        <w:tc>
          <w:tcPr>
            <w:tcW w:w="5613" w:type="dxa"/>
            <w:hideMark/>
          </w:tcPr>
          <w:p w14:paraId="62CFC542"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Determining how reduced complex/hybrid N-glycosylation modulates B1-adrenergic signaling and accelerates the progression of heart failure</w:t>
            </w:r>
          </w:p>
        </w:tc>
      </w:tr>
      <w:tr w:rsidR="000421CA" w:rsidRPr="00C17426" w14:paraId="09BD9F68"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B98C559"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Ballentine, Rachael</w:t>
            </w:r>
          </w:p>
        </w:tc>
        <w:tc>
          <w:tcPr>
            <w:tcW w:w="957" w:type="dxa"/>
            <w:noWrap/>
            <w:hideMark/>
          </w:tcPr>
          <w:p w14:paraId="3ED7D7CD" w14:textId="5C66AA3A" w:rsidR="000421CA" w:rsidRPr="00DE07A1" w:rsidRDefault="0005565E"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w:t>
            </w:r>
          </w:p>
        </w:tc>
        <w:tc>
          <w:tcPr>
            <w:tcW w:w="5613" w:type="dxa"/>
            <w:hideMark/>
          </w:tcPr>
          <w:p w14:paraId="797E9F99"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Exploration of Data Science and Machine Learning Techniques for Wildfire Prediction</w:t>
            </w:r>
          </w:p>
        </w:tc>
      </w:tr>
      <w:tr w:rsidR="000421CA" w:rsidRPr="00C17426" w14:paraId="3D7BA464"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A98FEC5"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Bathini, Uday Kiran Bathini</w:t>
            </w:r>
          </w:p>
        </w:tc>
        <w:tc>
          <w:tcPr>
            <w:tcW w:w="957" w:type="dxa"/>
            <w:noWrap/>
            <w:hideMark/>
          </w:tcPr>
          <w:p w14:paraId="6A72A8ED" w14:textId="5362AF64" w:rsidR="000421CA" w:rsidRPr="00DE07A1" w:rsidRDefault="0005565E"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11</w:t>
            </w:r>
          </w:p>
        </w:tc>
        <w:tc>
          <w:tcPr>
            <w:tcW w:w="5613" w:type="dxa"/>
            <w:hideMark/>
          </w:tcPr>
          <w:p w14:paraId="4BC77260"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Dietary Safflower Oil and Cardiometabolic Health: Molecular Mechanisms and Clinical Implications</w:t>
            </w:r>
          </w:p>
        </w:tc>
      </w:tr>
      <w:tr w:rsidR="000421CA" w:rsidRPr="00C17426" w14:paraId="1F40F6AA" w14:textId="77777777" w:rsidTr="00CC505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B5E7029"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Bhandari, Suvechha</w:t>
            </w:r>
          </w:p>
        </w:tc>
        <w:tc>
          <w:tcPr>
            <w:tcW w:w="957" w:type="dxa"/>
            <w:noWrap/>
            <w:hideMark/>
          </w:tcPr>
          <w:p w14:paraId="0101BAF3" w14:textId="7DF26223" w:rsidR="000421CA" w:rsidRPr="00DE07A1" w:rsidRDefault="0005565E"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w:t>
            </w:r>
          </w:p>
        </w:tc>
        <w:tc>
          <w:tcPr>
            <w:tcW w:w="5613" w:type="dxa"/>
            <w:hideMark/>
          </w:tcPr>
          <w:p w14:paraId="3A6DBEE4"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Thermal Burn injury induced </w:t>
            </w:r>
            <w:proofErr w:type="spellStart"/>
            <w:r w:rsidRPr="00DE07A1">
              <w:rPr>
                <w:rFonts w:eastAsia="Times New Roman" w:cs="Arial"/>
                <w:color w:val="000000"/>
                <w:sz w:val="20"/>
                <w:szCs w:val="20"/>
              </w:rPr>
              <w:t>microvesicle</w:t>
            </w:r>
            <w:proofErr w:type="spellEnd"/>
            <w:r w:rsidRPr="00DE07A1">
              <w:rPr>
                <w:rFonts w:eastAsia="Times New Roman" w:cs="Arial"/>
                <w:color w:val="000000"/>
                <w:sz w:val="20"/>
                <w:szCs w:val="20"/>
              </w:rPr>
              <w:t xml:space="preserve"> particles drive PAFR-dependent bacterial translocation and multi-organ injury amplified by aging.</w:t>
            </w:r>
          </w:p>
        </w:tc>
      </w:tr>
      <w:tr w:rsidR="000421CA" w:rsidRPr="00C17426" w14:paraId="117420CF"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A43A1CA"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Biswas, Kamalika</w:t>
            </w:r>
          </w:p>
        </w:tc>
        <w:tc>
          <w:tcPr>
            <w:tcW w:w="957" w:type="dxa"/>
            <w:noWrap/>
            <w:hideMark/>
          </w:tcPr>
          <w:p w14:paraId="2FA2878B" w14:textId="1B654D42" w:rsidR="000421CA" w:rsidRPr="00DE07A1" w:rsidRDefault="0005565E"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13</w:t>
            </w:r>
          </w:p>
        </w:tc>
        <w:tc>
          <w:tcPr>
            <w:tcW w:w="5613" w:type="dxa"/>
            <w:hideMark/>
          </w:tcPr>
          <w:p w14:paraId="0936AC14"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Mitochondrial Proteins modulate α-Synuclein toxicity</w:t>
            </w:r>
          </w:p>
        </w:tc>
      </w:tr>
      <w:tr w:rsidR="000421CA" w:rsidRPr="00C17426" w14:paraId="54E06F2E"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F1B58C0"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Blevins, Dillynn</w:t>
            </w:r>
          </w:p>
        </w:tc>
        <w:tc>
          <w:tcPr>
            <w:tcW w:w="957" w:type="dxa"/>
            <w:noWrap/>
            <w:hideMark/>
          </w:tcPr>
          <w:p w14:paraId="47289664" w14:textId="0F4CFF37" w:rsidR="000421CA" w:rsidRPr="00DE07A1" w:rsidRDefault="0005565E"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14</w:t>
            </w:r>
          </w:p>
        </w:tc>
        <w:tc>
          <w:tcPr>
            <w:tcW w:w="5613" w:type="dxa"/>
            <w:hideMark/>
          </w:tcPr>
          <w:p w14:paraId="7B1E4F98"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Resistance is Futile: The ecological assimilation of the invasive shrub Elaeagnus </w:t>
            </w:r>
            <w:proofErr w:type="spellStart"/>
            <w:r w:rsidRPr="00DE07A1">
              <w:rPr>
                <w:rFonts w:eastAsia="Times New Roman" w:cs="Arial"/>
                <w:color w:val="000000"/>
                <w:sz w:val="20"/>
                <w:szCs w:val="20"/>
              </w:rPr>
              <w:t>umbellata</w:t>
            </w:r>
            <w:proofErr w:type="spellEnd"/>
          </w:p>
        </w:tc>
      </w:tr>
      <w:tr w:rsidR="000421CA" w:rsidRPr="00C17426" w14:paraId="0167D3BA" w14:textId="77777777" w:rsidTr="00CC5058">
        <w:trPr>
          <w:trHeight w:val="521"/>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1162661"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Bomraspet, Andy Elnathan</w:t>
            </w:r>
          </w:p>
        </w:tc>
        <w:tc>
          <w:tcPr>
            <w:tcW w:w="957" w:type="dxa"/>
            <w:noWrap/>
            <w:hideMark/>
          </w:tcPr>
          <w:p w14:paraId="09CB3BF2" w14:textId="2D985740" w:rsidR="000421CA" w:rsidRPr="00DE07A1" w:rsidRDefault="0005565E"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15</w:t>
            </w:r>
          </w:p>
        </w:tc>
        <w:tc>
          <w:tcPr>
            <w:tcW w:w="5613" w:type="dxa"/>
            <w:hideMark/>
          </w:tcPr>
          <w:p w14:paraId="54C76B2F"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Investigating the mechanism of C11orf57-mediated suppression of FUS toxicity in Saccharomyces cerevisiae</w:t>
            </w:r>
          </w:p>
        </w:tc>
      </w:tr>
      <w:tr w:rsidR="000421CA" w:rsidRPr="00C17426" w14:paraId="606925BE"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7323E65"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Bostick, Nadia Alexis</w:t>
            </w:r>
          </w:p>
        </w:tc>
        <w:tc>
          <w:tcPr>
            <w:tcW w:w="957" w:type="dxa"/>
            <w:noWrap/>
            <w:hideMark/>
          </w:tcPr>
          <w:p w14:paraId="2D906888" w14:textId="72D7D6EA" w:rsidR="000421CA" w:rsidRPr="00DE07A1" w:rsidRDefault="0005565E"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16</w:t>
            </w:r>
          </w:p>
        </w:tc>
        <w:tc>
          <w:tcPr>
            <w:tcW w:w="5613" w:type="dxa"/>
            <w:hideMark/>
          </w:tcPr>
          <w:p w14:paraId="18070575"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Long-Term Stability of Urinary and Kidney Protein Biomarkers for Diabetic Kidney Disease </w:t>
            </w:r>
          </w:p>
        </w:tc>
      </w:tr>
      <w:tr w:rsidR="000421CA" w:rsidRPr="00C17426" w14:paraId="04FA2505"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CD9D01D"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Busey, Cassie</w:t>
            </w:r>
          </w:p>
        </w:tc>
        <w:tc>
          <w:tcPr>
            <w:tcW w:w="957" w:type="dxa"/>
            <w:noWrap/>
            <w:hideMark/>
          </w:tcPr>
          <w:p w14:paraId="0B11C1DA" w14:textId="4C88FC29" w:rsidR="000421CA" w:rsidRPr="00DE07A1" w:rsidRDefault="0005565E"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17</w:t>
            </w:r>
          </w:p>
        </w:tc>
        <w:tc>
          <w:tcPr>
            <w:tcW w:w="5613" w:type="dxa"/>
            <w:hideMark/>
          </w:tcPr>
          <w:p w14:paraId="43468F74"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Sexuality After a Spinal Cord Injury</w:t>
            </w:r>
          </w:p>
        </w:tc>
      </w:tr>
      <w:tr w:rsidR="000421CA" w:rsidRPr="00C17426" w14:paraId="4CCBC28A"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B6AD60F"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Castro, David Andrew</w:t>
            </w:r>
          </w:p>
        </w:tc>
        <w:tc>
          <w:tcPr>
            <w:tcW w:w="957" w:type="dxa"/>
            <w:noWrap/>
            <w:hideMark/>
          </w:tcPr>
          <w:p w14:paraId="1CA2BB7E" w14:textId="5C61E4AC" w:rsidR="000421CA" w:rsidRPr="00DE07A1" w:rsidRDefault="0005565E"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103-2</w:t>
            </w:r>
          </w:p>
        </w:tc>
        <w:tc>
          <w:tcPr>
            <w:tcW w:w="5613" w:type="dxa"/>
            <w:hideMark/>
          </w:tcPr>
          <w:p w14:paraId="29FF9389"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proofErr w:type="spellStart"/>
            <w:r w:rsidRPr="00DE07A1">
              <w:rPr>
                <w:rFonts w:eastAsia="Times New Roman" w:cs="Arial"/>
                <w:color w:val="000000"/>
                <w:sz w:val="20"/>
                <w:szCs w:val="20"/>
              </w:rPr>
              <w:t>Neurosymbolic</w:t>
            </w:r>
            <w:proofErr w:type="spellEnd"/>
            <w:r w:rsidRPr="00DE07A1">
              <w:rPr>
                <w:rFonts w:eastAsia="Times New Roman" w:cs="Arial"/>
                <w:color w:val="000000"/>
                <w:sz w:val="20"/>
                <w:szCs w:val="20"/>
              </w:rPr>
              <w:t xml:space="preserve"> AI - Knowledge Graph Embeddings</w:t>
            </w:r>
          </w:p>
        </w:tc>
      </w:tr>
      <w:tr w:rsidR="000421CA" w:rsidRPr="00C17426" w14:paraId="3905B52B"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FF304D2"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Casturi, Shreyas</w:t>
            </w:r>
          </w:p>
        </w:tc>
        <w:tc>
          <w:tcPr>
            <w:tcW w:w="957" w:type="dxa"/>
            <w:noWrap/>
            <w:hideMark/>
          </w:tcPr>
          <w:p w14:paraId="690CBA36" w14:textId="08BBF97A" w:rsidR="000421CA" w:rsidRPr="00DE07A1" w:rsidRDefault="0005565E"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103-3</w:t>
            </w:r>
          </w:p>
        </w:tc>
        <w:tc>
          <w:tcPr>
            <w:tcW w:w="5613" w:type="dxa"/>
            <w:hideMark/>
          </w:tcPr>
          <w:p w14:paraId="2850A63A"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Producing Formally Verified Lean Code for Automated Theorem Proving Quickly</w:t>
            </w:r>
          </w:p>
        </w:tc>
      </w:tr>
      <w:tr w:rsidR="000421CA" w:rsidRPr="00C17426" w14:paraId="184ED8EA"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B041202"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Chan, Bri</w:t>
            </w:r>
          </w:p>
        </w:tc>
        <w:tc>
          <w:tcPr>
            <w:tcW w:w="957" w:type="dxa"/>
            <w:noWrap/>
            <w:hideMark/>
          </w:tcPr>
          <w:p w14:paraId="563392F8" w14:textId="63D71F73" w:rsidR="000421CA" w:rsidRPr="00DE07A1" w:rsidRDefault="00664BF4"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130</w:t>
            </w:r>
          </w:p>
        </w:tc>
        <w:tc>
          <w:tcPr>
            <w:tcW w:w="5613" w:type="dxa"/>
            <w:hideMark/>
          </w:tcPr>
          <w:p w14:paraId="139A0F6F"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Story Telling Through Movement</w:t>
            </w:r>
          </w:p>
        </w:tc>
      </w:tr>
      <w:tr w:rsidR="000421CA" w:rsidRPr="00C17426" w14:paraId="74A59964"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3E43657"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Chase, Eleanor Kathryn</w:t>
            </w:r>
          </w:p>
        </w:tc>
        <w:tc>
          <w:tcPr>
            <w:tcW w:w="957" w:type="dxa"/>
            <w:noWrap/>
            <w:hideMark/>
          </w:tcPr>
          <w:p w14:paraId="05057D54" w14:textId="47E29E8E" w:rsidR="000421CA" w:rsidRPr="00DE07A1" w:rsidRDefault="00664BF4"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18</w:t>
            </w:r>
          </w:p>
        </w:tc>
        <w:tc>
          <w:tcPr>
            <w:tcW w:w="5613" w:type="dxa"/>
            <w:hideMark/>
          </w:tcPr>
          <w:p w14:paraId="3EA5AB33"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Isolating arsenic adapted microorganisms from contaminated soils for bioremediation</w:t>
            </w:r>
          </w:p>
        </w:tc>
      </w:tr>
      <w:tr w:rsidR="000421CA" w:rsidRPr="00C17426" w14:paraId="37946DC6" w14:textId="77777777" w:rsidTr="00CC505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FFA97AE"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Chauhan, Mittalkumari Shivsinh</w:t>
            </w:r>
          </w:p>
        </w:tc>
        <w:tc>
          <w:tcPr>
            <w:tcW w:w="957" w:type="dxa"/>
            <w:noWrap/>
            <w:hideMark/>
          </w:tcPr>
          <w:p w14:paraId="1B99958D" w14:textId="293F4F4C" w:rsidR="000421CA" w:rsidRPr="00DE07A1" w:rsidRDefault="00664BF4"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19</w:t>
            </w:r>
          </w:p>
        </w:tc>
        <w:tc>
          <w:tcPr>
            <w:tcW w:w="5613" w:type="dxa"/>
            <w:hideMark/>
          </w:tcPr>
          <w:p w14:paraId="6E0B038F"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Arsenic Compound-Mediated Inhibition of Lung Cancer Growth: Mediators and Mechanistic Pathways Affecting Targeted Therapy.</w:t>
            </w:r>
          </w:p>
        </w:tc>
      </w:tr>
      <w:tr w:rsidR="000421CA" w:rsidRPr="00C17426" w14:paraId="11CD899E"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4442343"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Chavan, Maitreyee Pradip</w:t>
            </w:r>
          </w:p>
        </w:tc>
        <w:tc>
          <w:tcPr>
            <w:tcW w:w="957" w:type="dxa"/>
            <w:noWrap/>
            <w:hideMark/>
          </w:tcPr>
          <w:p w14:paraId="5509B57A" w14:textId="1A3C3D65" w:rsidR="000421CA" w:rsidRPr="00DE07A1" w:rsidRDefault="00664BF4"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20</w:t>
            </w:r>
          </w:p>
        </w:tc>
        <w:tc>
          <w:tcPr>
            <w:tcW w:w="5613" w:type="dxa"/>
            <w:hideMark/>
          </w:tcPr>
          <w:p w14:paraId="7083F7FD"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Allelic Variation in the hs1.2 Enhancer Modulates </w:t>
            </w:r>
            <w:proofErr w:type="spellStart"/>
            <w:r w:rsidRPr="00DE07A1">
              <w:rPr>
                <w:rFonts w:eastAsia="Times New Roman" w:cs="Arial"/>
                <w:color w:val="000000"/>
                <w:sz w:val="20"/>
                <w:szCs w:val="20"/>
              </w:rPr>
              <w:t>AhR</w:t>
            </w:r>
            <w:proofErr w:type="spellEnd"/>
            <w:r w:rsidRPr="00DE07A1">
              <w:rPr>
                <w:rFonts w:eastAsia="Times New Roman" w:cs="Arial"/>
                <w:color w:val="000000"/>
                <w:sz w:val="20"/>
                <w:szCs w:val="20"/>
              </w:rPr>
              <w:t>-Mediated Suppression of Human Antibody Secretion</w:t>
            </w:r>
          </w:p>
        </w:tc>
      </w:tr>
      <w:tr w:rsidR="000421CA" w:rsidRPr="00C17426" w14:paraId="503205F4"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5252AAC"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lastRenderedPageBreak/>
              <w:t>Chejarla, Navya Sri</w:t>
            </w:r>
          </w:p>
        </w:tc>
        <w:tc>
          <w:tcPr>
            <w:tcW w:w="957" w:type="dxa"/>
            <w:noWrap/>
            <w:hideMark/>
          </w:tcPr>
          <w:p w14:paraId="4DE2CBC5" w14:textId="2E4B43A3" w:rsidR="000421CA" w:rsidRPr="00DE07A1" w:rsidRDefault="00664BF4"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21</w:t>
            </w:r>
          </w:p>
        </w:tc>
        <w:tc>
          <w:tcPr>
            <w:tcW w:w="5613" w:type="dxa"/>
            <w:hideMark/>
          </w:tcPr>
          <w:p w14:paraId="10B022C1"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The Diabetogenic Effect of Statins: Assessing Mechanisms, Risk Magnitude, and Clinical Relevance</w:t>
            </w:r>
          </w:p>
        </w:tc>
      </w:tr>
      <w:tr w:rsidR="000421CA" w:rsidRPr="00C17426" w14:paraId="2097A3F0"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A1B3231"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Chintala, Akhila</w:t>
            </w:r>
          </w:p>
        </w:tc>
        <w:tc>
          <w:tcPr>
            <w:tcW w:w="957" w:type="dxa"/>
            <w:noWrap/>
            <w:hideMark/>
          </w:tcPr>
          <w:p w14:paraId="70613F64" w14:textId="6217C5C8" w:rsidR="000421CA" w:rsidRPr="00DE07A1" w:rsidRDefault="00664BF4"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22</w:t>
            </w:r>
          </w:p>
        </w:tc>
        <w:tc>
          <w:tcPr>
            <w:tcW w:w="5613" w:type="dxa"/>
            <w:hideMark/>
          </w:tcPr>
          <w:p w14:paraId="5DC9C501"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Exploring the efficacy of chlorpromazine as a repurposed drug in Glioblastoma</w:t>
            </w:r>
          </w:p>
        </w:tc>
      </w:tr>
      <w:tr w:rsidR="000421CA" w:rsidRPr="00C17426" w14:paraId="5112F845"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478E93A"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Christou, Antrea</w:t>
            </w:r>
          </w:p>
        </w:tc>
        <w:tc>
          <w:tcPr>
            <w:tcW w:w="957" w:type="dxa"/>
            <w:noWrap/>
            <w:hideMark/>
          </w:tcPr>
          <w:p w14:paraId="5D985B5E" w14:textId="1516184A" w:rsidR="000421CA" w:rsidRPr="00DE07A1" w:rsidRDefault="00664BF4"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103-4</w:t>
            </w:r>
          </w:p>
        </w:tc>
        <w:tc>
          <w:tcPr>
            <w:tcW w:w="5613" w:type="dxa"/>
            <w:hideMark/>
          </w:tcPr>
          <w:p w14:paraId="38F60462"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Evaluating Knowledge Graph Embeddings</w:t>
            </w:r>
          </w:p>
        </w:tc>
      </w:tr>
      <w:tr w:rsidR="000421CA" w:rsidRPr="00C17426" w14:paraId="2A13A27E"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FCB52A5"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Cimatu, Ryanne Antonette Navarro</w:t>
            </w:r>
          </w:p>
        </w:tc>
        <w:tc>
          <w:tcPr>
            <w:tcW w:w="957" w:type="dxa"/>
            <w:noWrap/>
            <w:hideMark/>
          </w:tcPr>
          <w:p w14:paraId="162E6D25" w14:textId="410DF21F" w:rsidR="000421CA" w:rsidRPr="00DE07A1" w:rsidRDefault="00664BF4"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23</w:t>
            </w:r>
          </w:p>
        </w:tc>
        <w:tc>
          <w:tcPr>
            <w:tcW w:w="5613" w:type="dxa"/>
            <w:hideMark/>
          </w:tcPr>
          <w:p w14:paraId="0E1DD8D2"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Microplastics in Wastewater: Quantification and Fate in West-Central Ohio</w:t>
            </w:r>
          </w:p>
        </w:tc>
      </w:tr>
      <w:tr w:rsidR="000421CA" w:rsidRPr="00C17426" w14:paraId="2B129071"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E4D8A13"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Clark, Lucas A</w:t>
            </w:r>
          </w:p>
        </w:tc>
        <w:tc>
          <w:tcPr>
            <w:tcW w:w="957" w:type="dxa"/>
            <w:noWrap/>
            <w:hideMark/>
          </w:tcPr>
          <w:p w14:paraId="0FB6CDA0" w14:textId="741CDC0F" w:rsidR="000421CA" w:rsidRPr="00DE07A1" w:rsidRDefault="00664BF4"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24</w:t>
            </w:r>
          </w:p>
        </w:tc>
        <w:tc>
          <w:tcPr>
            <w:tcW w:w="5613" w:type="dxa"/>
            <w:hideMark/>
          </w:tcPr>
          <w:p w14:paraId="72FB3AFA"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Gamma Radiation Attenuation of Nanocomposites</w:t>
            </w:r>
          </w:p>
        </w:tc>
      </w:tr>
      <w:tr w:rsidR="000421CA" w:rsidRPr="00C17426" w14:paraId="038AF722"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23C100D"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Cline, Aaron Gabriel</w:t>
            </w:r>
          </w:p>
        </w:tc>
        <w:tc>
          <w:tcPr>
            <w:tcW w:w="957" w:type="dxa"/>
            <w:noWrap/>
            <w:hideMark/>
          </w:tcPr>
          <w:p w14:paraId="554083C2" w14:textId="4D5E3706" w:rsidR="000421CA" w:rsidRPr="00DE07A1" w:rsidRDefault="00664BF4"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25</w:t>
            </w:r>
          </w:p>
        </w:tc>
        <w:tc>
          <w:tcPr>
            <w:tcW w:w="5613" w:type="dxa"/>
            <w:hideMark/>
          </w:tcPr>
          <w:p w14:paraId="270B9CCC"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 Elevating Fantasy by Using Science Fiction-Focused Critical Analysis </w:t>
            </w:r>
          </w:p>
        </w:tc>
      </w:tr>
      <w:tr w:rsidR="000421CA" w:rsidRPr="00C17426" w14:paraId="64352576"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5378F99"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Dalton, Pauline</w:t>
            </w:r>
          </w:p>
        </w:tc>
        <w:tc>
          <w:tcPr>
            <w:tcW w:w="957" w:type="dxa"/>
            <w:noWrap/>
            <w:hideMark/>
          </w:tcPr>
          <w:p w14:paraId="3F8C958F" w14:textId="51E3CC2F" w:rsidR="000421CA" w:rsidRPr="00DE07A1" w:rsidRDefault="00664BF4"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26</w:t>
            </w:r>
          </w:p>
        </w:tc>
        <w:tc>
          <w:tcPr>
            <w:tcW w:w="5613" w:type="dxa"/>
            <w:hideMark/>
          </w:tcPr>
          <w:p w14:paraId="0F52528A"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Novel Aqueous Processing of </w:t>
            </w:r>
            <w:proofErr w:type="spellStart"/>
            <w:r w:rsidRPr="00DE07A1">
              <w:rPr>
                <w:rFonts w:eastAsia="Times New Roman" w:cs="Arial"/>
                <w:color w:val="000000"/>
                <w:sz w:val="20"/>
                <w:szCs w:val="20"/>
              </w:rPr>
              <w:t>Keraint</w:t>
            </w:r>
            <w:proofErr w:type="spellEnd"/>
          </w:p>
        </w:tc>
      </w:tr>
      <w:tr w:rsidR="000421CA" w:rsidRPr="00C17426" w14:paraId="1643B0CD"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5EB1BF2"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Davison, Tina</w:t>
            </w:r>
          </w:p>
        </w:tc>
        <w:tc>
          <w:tcPr>
            <w:tcW w:w="957" w:type="dxa"/>
            <w:noWrap/>
            <w:hideMark/>
          </w:tcPr>
          <w:p w14:paraId="079C0B54" w14:textId="136DFA89" w:rsidR="000421CA" w:rsidRPr="00DE07A1" w:rsidRDefault="00664BF4"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27</w:t>
            </w:r>
          </w:p>
        </w:tc>
        <w:tc>
          <w:tcPr>
            <w:tcW w:w="5613" w:type="dxa"/>
            <w:hideMark/>
          </w:tcPr>
          <w:p w14:paraId="086B4506"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Beyond the Siloes: A Unified Framework for Host-Pathogen-Pharmacokinetic Drivers of Antibiotic Resistance</w:t>
            </w:r>
          </w:p>
        </w:tc>
      </w:tr>
      <w:tr w:rsidR="000421CA" w:rsidRPr="00C17426" w14:paraId="0FC1361D"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DE27619"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Devi, Meenu</w:t>
            </w:r>
          </w:p>
        </w:tc>
        <w:tc>
          <w:tcPr>
            <w:tcW w:w="957" w:type="dxa"/>
            <w:noWrap/>
            <w:hideMark/>
          </w:tcPr>
          <w:p w14:paraId="33D97DD1" w14:textId="5F1ACCF1" w:rsidR="000421CA" w:rsidRPr="00DE07A1" w:rsidRDefault="00664BF4"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28</w:t>
            </w:r>
          </w:p>
        </w:tc>
        <w:tc>
          <w:tcPr>
            <w:tcW w:w="5613" w:type="dxa"/>
            <w:hideMark/>
          </w:tcPr>
          <w:p w14:paraId="39BC8182"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Efficacy and safety of chemoradiotherapy in small cell lung cancer</w:t>
            </w:r>
          </w:p>
        </w:tc>
      </w:tr>
      <w:tr w:rsidR="000421CA" w:rsidRPr="00C17426" w14:paraId="00C08A82"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245C0DE"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Dhengale, Shreya Manohar</w:t>
            </w:r>
          </w:p>
        </w:tc>
        <w:tc>
          <w:tcPr>
            <w:tcW w:w="957" w:type="dxa"/>
            <w:noWrap/>
            <w:hideMark/>
          </w:tcPr>
          <w:p w14:paraId="4904BF51" w14:textId="6E1AFC9D" w:rsidR="000421CA" w:rsidRPr="00DE07A1" w:rsidRDefault="00664BF4"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29</w:t>
            </w:r>
          </w:p>
        </w:tc>
        <w:tc>
          <w:tcPr>
            <w:tcW w:w="5613" w:type="dxa"/>
            <w:hideMark/>
          </w:tcPr>
          <w:p w14:paraId="562C68E2"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Role of the platelet-activating factor receptor pathway in </w:t>
            </w:r>
            <w:proofErr w:type="spellStart"/>
            <w:r w:rsidRPr="00DE07A1">
              <w:rPr>
                <w:rFonts w:eastAsia="Times New Roman" w:cs="Arial"/>
                <w:color w:val="000000"/>
                <w:sz w:val="20"/>
                <w:szCs w:val="20"/>
              </w:rPr>
              <w:t>penfluridol</w:t>
            </w:r>
            <w:proofErr w:type="spellEnd"/>
            <w:r w:rsidRPr="00DE07A1">
              <w:rPr>
                <w:rFonts w:eastAsia="Times New Roman" w:cs="Arial"/>
                <w:color w:val="000000"/>
                <w:sz w:val="20"/>
                <w:szCs w:val="20"/>
              </w:rPr>
              <w:t>-based combination therapy in lung cancer cells</w:t>
            </w:r>
          </w:p>
        </w:tc>
      </w:tr>
      <w:tr w:rsidR="000421CA" w:rsidRPr="00C17426" w14:paraId="67E804A3"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58E5FFC"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Dhungel, Krischal</w:t>
            </w:r>
          </w:p>
        </w:tc>
        <w:tc>
          <w:tcPr>
            <w:tcW w:w="957" w:type="dxa"/>
            <w:noWrap/>
            <w:hideMark/>
          </w:tcPr>
          <w:p w14:paraId="720540AE" w14:textId="0A3BEA4A" w:rsidR="000421CA" w:rsidRPr="00DE07A1" w:rsidRDefault="00664BF4"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w:t>
            </w:r>
            <w:r w:rsidR="004B2CBD">
              <w:rPr>
                <w:rFonts w:eastAsia="Times New Roman" w:cs="Arial"/>
                <w:color w:val="000000"/>
                <w:sz w:val="20"/>
                <w:szCs w:val="20"/>
              </w:rPr>
              <w:t>5</w:t>
            </w:r>
          </w:p>
        </w:tc>
        <w:tc>
          <w:tcPr>
            <w:tcW w:w="5613" w:type="dxa"/>
            <w:hideMark/>
          </w:tcPr>
          <w:p w14:paraId="4E8F3B70"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Graph Reconstruction and Alignment for I </w:t>
            </w:r>
            <w:proofErr w:type="spellStart"/>
            <w:r w:rsidRPr="00DE07A1">
              <w:rPr>
                <w:rFonts w:eastAsia="Times New Roman" w:cs="Arial"/>
                <w:color w:val="000000"/>
                <w:sz w:val="20"/>
                <w:szCs w:val="20"/>
              </w:rPr>
              <w:t>ntegrity</w:t>
            </w:r>
            <w:proofErr w:type="spellEnd"/>
            <w:r w:rsidRPr="00DE07A1">
              <w:rPr>
                <w:rFonts w:eastAsia="Times New Roman" w:cs="Arial"/>
                <w:color w:val="000000"/>
                <w:sz w:val="20"/>
                <w:szCs w:val="20"/>
              </w:rPr>
              <w:t xml:space="preserve"> and V </w:t>
            </w:r>
            <w:proofErr w:type="spellStart"/>
            <w:r w:rsidRPr="00DE07A1">
              <w:rPr>
                <w:rFonts w:eastAsia="Times New Roman" w:cs="Arial"/>
                <w:color w:val="000000"/>
                <w:sz w:val="20"/>
                <w:szCs w:val="20"/>
              </w:rPr>
              <w:t>alidation</w:t>
            </w:r>
            <w:proofErr w:type="spellEnd"/>
            <w:r w:rsidRPr="00DE07A1">
              <w:rPr>
                <w:rFonts w:eastAsia="Times New Roman" w:cs="Arial"/>
                <w:color w:val="000000"/>
                <w:sz w:val="20"/>
                <w:szCs w:val="20"/>
              </w:rPr>
              <w:t xml:space="preserve"> (GRAIL)</w:t>
            </w:r>
          </w:p>
        </w:tc>
      </w:tr>
      <w:tr w:rsidR="000421CA" w:rsidRPr="00C17426" w14:paraId="7C273B71"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B06CFF5"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Doyal, Shannon Heather Bynum</w:t>
            </w:r>
          </w:p>
        </w:tc>
        <w:tc>
          <w:tcPr>
            <w:tcW w:w="957" w:type="dxa"/>
            <w:noWrap/>
            <w:hideMark/>
          </w:tcPr>
          <w:p w14:paraId="5F64D5AD" w14:textId="4E1E9372" w:rsidR="000421CA" w:rsidRPr="00DE07A1" w:rsidRDefault="004B2CBD"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134</w:t>
            </w:r>
          </w:p>
        </w:tc>
        <w:tc>
          <w:tcPr>
            <w:tcW w:w="5613" w:type="dxa"/>
            <w:hideMark/>
          </w:tcPr>
          <w:p w14:paraId="3A66285D"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Stories of Our Soldiers: Unearthing Our Past to Preserve for the Future</w:t>
            </w:r>
          </w:p>
        </w:tc>
      </w:tr>
      <w:tr w:rsidR="000421CA" w:rsidRPr="00C17426" w14:paraId="284C4D1A"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8205F15"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Dzhafarova, Rabia</w:t>
            </w:r>
          </w:p>
        </w:tc>
        <w:tc>
          <w:tcPr>
            <w:tcW w:w="957" w:type="dxa"/>
            <w:noWrap/>
            <w:hideMark/>
          </w:tcPr>
          <w:p w14:paraId="5CEC53DC" w14:textId="7CF00229" w:rsidR="000421CA" w:rsidRPr="00DE07A1" w:rsidRDefault="004B2CBD"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30</w:t>
            </w:r>
          </w:p>
        </w:tc>
        <w:tc>
          <w:tcPr>
            <w:tcW w:w="5613" w:type="dxa"/>
            <w:hideMark/>
          </w:tcPr>
          <w:p w14:paraId="715A17B4"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SK Channel Expression in the Caudate Nucleus and Prefrontal Cortex of a Mouse Model of ALS/FTLD</w:t>
            </w:r>
          </w:p>
        </w:tc>
      </w:tr>
      <w:tr w:rsidR="000421CA" w:rsidRPr="00C17426" w14:paraId="4826B618"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236A9E7"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Egamberdieva, Malohat</w:t>
            </w:r>
          </w:p>
        </w:tc>
        <w:tc>
          <w:tcPr>
            <w:tcW w:w="957" w:type="dxa"/>
            <w:noWrap/>
            <w:hideMark/>
          </w:tcPr>
          <w:p w14:paraId="5620B305" w14:textId="0EFEA463" w:rsidR="000421CA" w:rsidRPr="00DE07A1" w:rsidRDefault="004B2CBD"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31</w:t>
            </w:r>
          </w:p>
        </w:tc>
        <w:tc>
          <w:tcPr>
            <w:tcW w:w="5613" w:type="dxa"/>
            <w:hideMark/>
          </w:tcPr>
          <w:p w14:paraId="3F80B82F"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Effect of Cytoskeleton Binding Proteins on Alpha - Synuclein Toxicity in Yeast </w:t>
            </w:r>
          </w:p>
        </w:tc>
      </w:tr>
      <w:tr w:rsidR="000421CA" w:rsidRPr="00C17426" w14:paraId="450A2129"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0249A74"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El-zein, Widad</w:t>
            </w:r>
          </w:p>
        </w:tc>
        <w:tc>
          <w:tcPr>
            <w:tcW w:w="957" w:type="dxa"/>
            <w:noWrap/>
            <w:hideMark/>
          </w:tcPr>
          <w:p w14:paraId="6745FE8C" w14:textId="2B016F07" w:rsidR="000421CA" w:rsidRPr="00DE07A1" w:rsidRDefault="004B2CBD"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32</w:t>
            </w:r>
          </w:p>
        </w:tc>
        <w:tc>
          <w:tcPr>
            <w:tcW w:w="5613" w:type="dxa"/>
            <w:hideMark/>
          </w:tcPr>
          <w:p w14:paraId="034339B9"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ALS-Linked MATR3 Causes Cell Size Enlargement in Budding Yeast </w:t>
            </w:r>
          </w:p>
        </w:tc>
      </w:tr>
      <w:tr w:rsidR="000421CA" w:rsidRPr="00C17426" w14:paraId="1692506C"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0A6E928"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Ellis, Alexis Lee</w:t>
            </w:r>
          </w:p>
        </w:tc>
        <w:tc>
          <w:tcPr>
            <w:tcW w:w="957" w:type="dxa"/>
            <w:noWrap/>
            <w:hideMark/>
          </w:tcPr>
          <w:p w14:paraId="0E4B640C" w14:textId="2C575BD7" w:rsidR="000421CA" w:rsidRPr="00DE07A1" w:rsidRDefault="004B2CBD"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103-6</w:t>
            </w:r>
          </w:p>
        </w:tc>
        <w:tc>
          <w:tcPr>
            <w:tcW w:w="5613" w:type="dxa"/>
            <w:hideMark/>
          </w:tcPr>
          <w:p w14:paraId="7D49E2E4"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Kastle Lab presentations</w:t>
            </w:r>
          </w:p>
        </w:tc>
      </w:tr>
      <w:tr w:rsidR="000421CA" w:rsidRPr="00C17426" w14:paraId="3F511285"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6240200"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Fauley, Tim</w:t>
            </w:r>
          </w:p>
        </w:tc>
        <w:tc>
          <w:tcPr>
            <w:tcW w:w="957" w:type="dxa"/>
            <w:noWrap/>
            <w:hideMark/>
          </w:tcPr>
          <w:p w14:paraId="2E6D6768" w14:textId="5D12AA26" w:rsidR="000421CA" w:rsidRPr="00DE07A1" w:rsidRDefault="004B2CBD"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33</w:t>
            </w:r>
          </w:p>
        </w:tc>
        <w:tc>
          <w:tcPr>
            <w:tcW w:w="5613" w:type="dxa"/>
            <w:hideMark/>
          </w:tcPr>
          <w:p w14:paraId="3624DD78"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Correlated Color Temperature, Spectrum and Flow States</w:t>
            </w:r>
          </w:p>
        </w:tc>
      </w:tr>
      <w:tr w:rsidR="000421CA" w:rsidRPr="00C17426" w14:paraId="44470CA6"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4404E90"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Ferraro, John Timothy</w:t>
            </w:r>
          </w:p>
        </w:tc>
        <w:tc>
          <w:tcPr>
            <w:tcW w:w="957" w:type="dxa"/>
            <w:noWrap/>
            <w:hideMark/>
          </w:tcPr>
          <w:p w14:paraId="5212A069" w14:textId="63122016" w:rsidR="000421CA" w:rsidRPr="00DE07A1" w:rsidRDefault="004B2CBD"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34</w:t>
            </w:r>
          </w:p>
        </w:tc>
        <w:tc>
          <w:tcPr>
            <w:tcW w:w="5613" w:type="dxa"/>
            <w:hideMark/>
          </w:tcPr>
          <w:p w14:paraId="2FA0BB88"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Concentration and Confinement: British Detention Centers and Internment Camps during the Palestinian Revolt of 1936-1939</w:t>
            </w:r>
          </w:p>
        </w:tc>
      </w:tr>
      <w:tr w:rsidR="000421CA" w:rsidRPr="00C17426" w14:paraId="15A0D662"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4BD17A4"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Garimilla, Pravalika</w:t>
            </w:r>
          </w:p>
        </w:tc>
        <w:tc>
          <w:tcPr>
            <w:tcW w:w="957" w:type="dxa"/>
            <w:noWrap/>
            <w:hideMark/>
          </w:tcPr>
          <w:p w14:paraId="1540D888" w14:textId="42E48752" w:rsidR="000421CA" w:rsidRPr="00DE07A1" w:rsidRDefault="004B2CBD"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35</w:t>
            </w:r>
          </w:p>
        </w:tc>
        <w:tc>
          <w:tcPr>
            <w:tcW w:w="5613" w:type="dxa"/>
            <w:hideMark/>
          </w:tcPr>
          <w:p w14:paraId="73BF86BC"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Safety and efficiency of SGLT2 inhibitors in management of Heart Failure </w:t>
            </w:r>
          </w:p>
        </w:tc>
      </w:tr>
      <w:tr w:rsidR="000421CA" w:rsidRPr="00C17426" w14:paraId="2401EBE8"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64D1949"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Garvandhula, Anusha</w:t>
            </w:r>
          </w:p>
        </w:tc>
        <w:tc>
          <w:tcPr>
            <w:tcW w:w="957" w:type="dxa"/>
            <w:noWrap/>
            <w:hideMark/>
          </w:tcPr>
          <w:p w14:paraId="66CFDB63" w14:textId="305F1B40" w:rsidR="000421CA" w:rsidRPr="00DE07A1" w:rsidRDefault="004B2CBD"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36</w:t>
            </w:r>
          </w:p>
        </w:tc>
        <w:tc>
          <w:tcPr>
            <w:tcW w:w="5613" w:type="dxa"/>
            <w:hideMark/>
          </w:tcPr>
          <w:p w14:paraId="4F2044F3"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How Social Media Impacts Mental Health: Risks, Benefits</w:t>
            </w:r>
          </w:p>
        </w:tc>
      </w:tr>
      <w:tr w:rsidR="000421CA" w:rsidRPr="00C17426" w14:paraId="7B1AD00A"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8C3DDA6"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Gattu, Sravya</w:t>
            </w:r>
          </w:p>
        </w:tc>
        <w:tc>
          <w:tcPr>
            <w:tcW w:w="957" w:type="dxa"/>
            <w:noWrap/>
            <w:hideMark/>
          </w:tcPr>
          <w:p w14:paraId="0D1B1641" w14:textId="1D002AE2" w:rsidR="000421CA" w:rsidRPr="00DE07A1" w:rsidRDefault="004B2CBD"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37</w:t>
            </w:r>
          </w:p>
        </w:tc>
        <w:tc>
          <w:tcPr>
            <w:tcW w:w="5613" w:type="dxa"/>
            <w:hideMark/>
          </w:tcPr>
          <w:p w14:paraId="63317322"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Telomere maintenance in dyskeratosis congenita </w:t>
            </w:r>
          </w:p>
        </w:tc>
      </w:tr>
      <w:tr w:rsidR="000421CA" w:rsidRPr="00C17426" w14:paraId="0C2F3824"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EAC1707"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Gay, Avianna Christine</w:t>
            </w:r>
          </w:p>
        </w:tc>
        <w:tc>
          <w:tcPr>
            <w:tcW w:w="957" w:type="dxa"/>
            <w:noWrap/>
            <w:hideMark/>
          </w:tcPr>
          <w:p w14:paraId="3AFC4A13" w14:textId="22A1D94E" w:rsidR="000421CA" w:rsidRPr="00DE07A1" w:rsidRDefault="004B2CBD"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38</w:t>
            </w:r>
          </w:p>
        </w:tc>
        <w:tc>
          <w:tcPr>
            <w:tcW w:w="5613" w:type="dxa"/>
            <w:hideMark/>
          </w:tcPr>
          <w:p w14:paraId="7BB28F45"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Drop wise Fluoride Delivery Reveals Hidden Kinetics in Potentiometric Precipitation Titrations: Rethinking Pre nucleation Signatures in </w:t>
            </w:r>
            <w:proofErr w:type="spellStart"/>
            <w:r w:rsidRPr="00DE07A1">
              <w:rPr>
                <w:rFonts w:eastAsia="Times New Roman" w:cs="Arial"/>
                <w:color w:val="000000"/>
                <w:sz w:val="20"/>
                <w:szCs w:val="20"/>
              </w:rPr>
              <w:t>CaF</w:t>
            </w:r>
            <w:proofErr w:type="spellEnd"/>
            <w:r w:rsidRPr="00DE07A1">
              <w:rPr>
                <w:rFonts w:eastAsia="Times New Roman" w:cs="Cambria Math"/>
                <w:color w:val="000000"/>
                <w:sz w:val="20"/>
                <w:szCs w:val="20"/>
              </w:rPr>
              <w:t>₂</w:t>
            </w:r>
            <w:r w:rsidRPr="00DE07A1">
              <w:rPr>
                <w:rFonts w:eastAsia="Times New Roman" w:cs="Arial"/>
                <w:color w:val="000000"/>
                <w:sz w:val="20"/>
                <w:szCs w:val="20"/>
              </w:rPr>
              <w:t xml:space="preserve"> Systems</w:t>
            </w:r>
          </w:p>
        </w:tc>
      </w:tr>
      <w:tr w:rsidR="000421CA" w:rsidRPr="00C17426" w14:paraId="3C326CF0" w14:textId="77777777" w:rsidTr="00CC505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A896A1D"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Gelske, Emily Lynn</w:t>
            </w:r>
          </w:p>
        </w:tc>
        <w:tc>
          <w:tcPr>
            <w:tcW w:w="957" w:type="dxa"/>
            <w:noWrap/>
            <w:hideMark/>
          </w:tcPr>
          <w:p w14:paraId="54B89461" w14:textId="29DF5442" w:rsidR="000421CA" w:rsidRPr="00DE07A1" w:rsidRDefault="004B2CBD"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39</w:t>
            </w:r>
          </w:p>
        </w:tc>
        <w:tc>
          <w:tcPr>
            <w:tcW w:w="5613" w:type="dxa"/>
            <w:hideMark/>
          </w:tcPr>
          <w:p w14:paraId="48212FC5"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The impacts of pollinator habitat size and agricultural practices on pollinator diversity and crop success. </w:t>
            </w:r>
          </w:p>
        </w:tc>
      </w:tr>
      <w:tr w:rsidR="000421CA" w:rsidRPr="00C17426" w14:paraId="6EAE23AA"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589FAE4"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Generas, Elizabeth Anne</w:t>
            </w:r>
          </w:p>
        </w:tc>
        <w:tc>
          <w:tcPr>
            <w:tcW w:w="957" w:type="dxa"/>
            <w:noWrap/>
            <w:hideMark/>
          </w:tcPr>
          <w:p w14:paraId="496AF683" w14:textId="3D86BB5E" w:rsidR="000421CA" w:rsidRPr="00DE07A1" w:rsidRDefault="004B2CBD"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40</w:t>
            </w:r>
          </w:p>
        </w:tc>
        <w:tc>
          <w:tcPr>
            <w:tcW w:w="5613" w:type="dxa"/>
            <w:hideMark/>
          </w:tcPr>
          <w:p w14:paraId="277FD8D5"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A quantitative analysis of registered apprenticeships as engines of economic mobility and labor market stability in the United States</w:t>
            </w:r>
          </w:p>
        </w:tc>
      </w:tr>
      <w:tr w:rsidR="000421CA" w:rsidRPr="00C17426" w14:paraId="343D5A7B"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99B2B1E"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Ghiasi, Elham</w:t>
            </w:r>
          </w:p>
        </w:tc>
        <w:tc>
          <w:tcPr>
            <w:tcW w:w="957" w:type="dxa"/>
            <w:noWrap/>
            <w:hideMark/>
          </w:tcPr>
          <w:p w14:paraId="40D1E934" w14:textId="4FF1BD0D" w:rsidR="000421CA" w:rsidRPr="00DE07A1" w:rsidRDefault="004B2CBD"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103-7</w:t>
            </w:r>
          </w:p>
        </w:tc>
        <w:tc>
          <w:tcPr>
            <w:tcW w:w="5613" w:type="dxa"/>
            <w:hideMark/>
          </w:tcPr>
          <w:p w14:paraId="4FEC386C"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Evaluating Prompt Engineering Strategies for Ontology-Based Question Answering</w:t>
            </w:r>
          </w:p>
        </w:tc>
      </w:tr>
      <w:tr w:rsidR="000421CA" w:rsidRPr="00C17426" w14:paraId="25152BBD"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0C4F2F5"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Gillespie, Breonna</w:t>
            </w:r>
          </w:p>
        </w:tc>
        <w:tc>
          <w:tcPr>
            <w:tcW w:w="957" w:type="dxa"/>
            <w:noWrap/>
            <w:hideMark/>
          </w:tcPr>
          <w:p w14:paraId="0EA9656B" w14:textId="640C70DE" w:rsidR="000421CA" w:rsidRPr="00DE07A1" w:rsidRDefault="004B2CBD"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41</w:t>
            </w:r>
          </w:p>
        </w:tc>
        <w:tc>
          <w:tcPr>
            <w:tcW w:w="5613" w:type="dxa"/>
            <w:hideMark/>
          </w:tcPr>
          <w:p w14:paraId="13A46721"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Lewy body-associated 14-3-3 proteins protect cells from alpha-synuclein cytotoxicity</w:t>
            </w:r>
          </w:p>
        </w:tc>
      </w:tr>
      <w:tr w:rsidR="000421CA" w:rsidRPr="00C17426" w14:paraId="3F38DB2A" w14:textId="77777777" w:rsidTr="00CC505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83BC7D4"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lastRenderedPageBreak/>
              <w:t>Goli, Abhishek Teja</w:t>
            </w:r>
          </w:p>
        </w:tc>
        <w:tc>
          <w:tcPr>
            <w:tcW w:w="957" w:type="dxa"/>
            <w:noWrap/>
            <w:hideMark/>
          </w:tcPr>
          <w:p w14:paraId="686DE582" w14:textId="417D2473" w:rsidR="000421CA"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103-8</w:t>
            </w:r>
          </w:p>
        </w:tc>
        <w:tc>
          <w:tcPr>
            <w:tcW w:w="5613" w:type="dxa"/>
            <w:hideMark/>
          </w:tcPr>
          <w:p w14:paraId="5B0A8FBB"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Secure Organization-Specific LLM Systems: A Retrieval-Augmented Framework for Enterprise Knowledge Access</w:t>
            </w:r>
          </w:p>
        </w:tc>
      </w:tr>
      <w:tr w:rsidR="000421CA" w:rsidRPr="00C17426" w14:paraId="4CA45CAD"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33CB91F"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Gorla, Poojitha Gorla</w:t>
            </w:r>
          </w:p>
        </w:tc>
        <w:tc>
          <w:tcPr>
            <w:tcW w:w="957" w:type="dxa"/>
            <w:noWrap/>
            <w:hideMark/>
          </w:tcPr>
          <w:p w14:paraId="4B968C17" w14:textId="161C8E8C" w:rsidR="000421CA"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42</w:t>
            </w:r>
          </w:p>
        </w:tc>
        <w:tc>
          <w:tcPr>
            <w:tcW w:w="5613" w:type="dxa"/>
            <w:hideMark/>
          </w:tcPr>
          <w:p w14:paraId="6989202D"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Colon-targeted pH-dependent compressed tablets of Naproxen</w:t>
            </w:r>
          </w:p>
        </w:tc>
      </w:tr>
      <w:tr w:rsidR="000421CA" w:rsidRPr="00C17426" w14:paraId="7EFB3295" w14:textId="77777777" w:rsidTr="00CC505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8843C20"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Grant, Delaney Christine</w:t>
            </w:r>
          </w:p>
        </w:tc>
        <w:tc>
          <w:tcPr>
            <w:tcW w:w="957" w:type="dxa"/>
            <w:noWrap/>
            <w:hideMark/>
          </w:tcPr>
          <w:p w14:paraId="64038B50" w14:textId="5D64FB22" w:rsidR="000421CA"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43</w:t>
            </w:r>
          </w:p>
        </w:tc>
        <w:tc>
          <w:tcPr>
            <w:tcW w:w="5613" w:type="dxa"/>
            <w:hideMark/>
          </w:tcPr>
          <w:p w14:paraId="77046748"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Sustained Peripheral Nerve Injury in Military Relevant Operational Environment: Role of Mitochondria</w:t>
            </w:r>
          </w:p>
        </w:tc>
      </w:tr>
      <w:tr w:rsidR="000421CA" w:rsidRPr="00C17426" w14:paraId="506A2C0B"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5D080E2"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Greene, Madeline Robertson</w:t>
            </w:r>
          </w:p>
        </w:tc>
        <w:tc>
          <w:tcPr>
            <w:tcW w:w="957" w:type="dxa"/>
            <w:noWrap/>
            <w:hideMark/>
          </w:tcPr>
          <w:p w14:paraId="2AED103B" w14:textId="40E3A90F" w:rsidR="000421CA"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44</w:t>
            </w:r>
          </w:p>
        </w:tc>
        <w:tc>
          <w:tcPr>
            <w:tcW w:w="5613" w:type="dxa"/>
            <w:hideMark/>
          </w:tcPr>
          <w:p w14:paraId="63946EC3"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When roots branch, fungi (may) follow: Does root architecture predict total ectomycorrhizal fungal colonization and exploration type?</w:t>
            </w:r>
          </w:p>
        </w:tc>
      </w:tr>
      <w:tr w:rsidR="000421CA" w:rsidRPr="00C17426" w14:paraId="65B07CEB"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4288FD8"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Grine, Mesa Christine</w:t>
            </w:r>
          </w:p>
        </w:tc>
        <w:tc>
          <w:tcPr>
            <w:tcW w:w="957" w:type="dxa"/>
            <w:noWrap/>
            <w:hideMark/>
          </w:tcPr>
          <w:p w14:paraId="73230FE2" w14:textId="4B97E580" w:rsidR="000421CA"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45</w:t>
            </w:r>
          </w:p>
        </w:tc>
        <w:tc>
          <w:tcPr>
            <w:tcW w:w="5613" w:type="dxa"/>
            <w:hideMark/>
          </w:tcPr>
          <w:p w14:paraId="232536B5"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Callicarpa dichotoma: An ecological evaluation of traits in an emerging invasive plant</w:t>
            </w:r>
          </w:p>
        </w:tc>
      </w:tr>
      <w:tr w:rsidR="000421CA" w:rsidRPr="00C17426" w14:paraId="79D2BA6D"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EB521EE"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Gururaj, Rachana</w:t>
            </w:r>
          </w:p>
        </w:tc>
        <w:tc>
          <w:tcPr>
            <w:tcW w:w="957" w:type="dxa"/>
            <w:noWrap/>
            <w:hideMark/>
          </w:tcPr>
          <w:p w14:paraId="45E38A24" w14:textId="12F2713E" w:rsidR="000421CA"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46</w:t>
            </w:r>
          </w:p>
        </w:tc>
        <w:tc>
          <w:tcPr>
            <w:tcW w:w="5613" w:type="dxa"/>
            <w:hideMark/>
          </w:tcPr>
          <w:p w14:paraId="45376962"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Applying Precision Medicine to Alzheimer's Disease: Evaluating the Efficacy and Safety of ALZ-801 in the Genetically Highest-Risk Population</w:t>
            </w:r>
          </w:p>
        </w:tc>
      </w:tr>
      <w:tr w:rsidR="000421CA" w:rsidRPr="00C17426" w14:paraId="1CAACAFE"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446E208"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Haider, Ishita</w:t>
            </w:r>
          </w:p>
        </w:tc>
        <w:tc>
          <w:tcPr>
            <w:tcW w:w="957" w:type="dxa"/>
            <w:noWrap/>
            <w:hideMark/>
          </w:tcPr>
          <w:p w14:paraId="4E5A1F1A" w14:textId="63B682F6" w:rsidR="000421CA"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47</w:t>
            </w:r>
          </w:p>
        </w:tc>
        <w:tc>
          <w:tcPr>
            <w:tcW w:w="5613" w:type="dxa"/>
            <w:hideMark/>
          </w:tcPr>
          <w:p w14:paraId="72680C3F"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Linking alpha-synuclein toxicity to autophagy</w:t>
            </w:r>
          </w:p>
        </w:tc>
      </w:tr>
      <w:tr w:rsidR="000421CA" w:rsidRPr="00C17426" w14:paraId="605EC158"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tcPr>
          <w:p w14:paraId="5F3A40B9" w14:textId="77777777" w:rsidR="000421CA" w:rsidRPr="00C17426" w:rsidRDefault="000421CA" w:rsidP="0033709C">
            <w:pPr>
              <w:rPr>
                <w:rFonts w:eastAsia="Times New Roman" w:cs="Arial"/>
                <w:color w:val="000000"/>
                <w:sz w:val="20"/>
                <w:szCs w:val="20"/>
              </w:rPr>
            </w:pPr>
            <w:r w:rsidRPr="00DE07A1">
              <w:rPr>
                <w:rFonts w:eastAsia="Times New Roman" w:cs="Arial"/>
                <w:b w:val="0"/>
                <w:bCs w:val="0"/>
                <w:color w:val="000000"/>
                <w:sz w:val="20"/>
                <w:szCs w:val="20"/>
              </w:rPr>
              <w:t>Hajmirza Mohammadi Kamalabadi, Pooneh</w:t>
            </w:r>
          </w:p>
        </w:tc>
        <w:tc>
          <w:tcPr>
            <w:tcW w:w="957" w:type="dxa"/>
            <w:noWrap/>
            <w:hideMark/>
          </w:tcPr>
          <w:p w14:paraId="58D1D9DD" w14:textId="6709A817" w:rsidR="000421CA"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48</w:t>
            </w:r>
          </w:p>
        </w:tc>
        <w:tc>
          <w:tcPr>
            <w:tcW w:w="5613" w:type="dxa"/>
            <w:hideMark/>
          </w:tcPr>
          <w:p w14:paraId="059FD944"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Systemic MyoAAV3-Lipin1 Gene Delivery Mitigates Muscle Pathology and Improves Function in mdx Mice</w:t>
            </w:r>
          </w:p>
        </w:tc>
      </w:tr>
      <w:tr w:rsidR="000421CA" w:rsidRPr="00C17426" w14:paraId="4966B28C" w14:textId="77777777" w:rsidTr="00CC505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E2C3D4A"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Hamdan, Jordan</w:t>
            </w:r>
          </w:p>
        </w:tc>
        <w:tc>
          <w:tcPr>
            <w:tcW w:w="957" w:type="dxa"/>
            <w:noWrap/>
            <w:hideMark/>
          </w:tcPr>
          <w:p w14:paraId="7237FE12" w14:textId="4014D816" w:rsidR="000421CA"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49</w:t>
            </w:r>
          </w:p>
        </w:tc>
        <w:tc>
          <w:tcPr>
            <w:tcW w:w="5613" w:type="dxa"/>
            <w:hideMark/>
          </w:tcPr>
          <w:p w14:paraId="691AEF99"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Investigating Synaptic Input and Intrinsic Motoneuron Excitability to Identify Neural Mechanisms of  Fatigue-Induced Weakness in </w:t>
            </w:r>
            <w:proofErr w:type="spellStart"/>
            <w:r w:rsidRPr="00DE07A1">
              <w:rPr>
                <w:rFonts w:eastAsia="Times New Roman" w:cs="Arial"/>
                <w:color w:val="000000"/>
                <w:sz w:val="20"/>
                <w:szCs w:val="20"/>
              </w:rPr>
              <w:t>Dynapenia</w:t>
            </w:r>
            <w:proofErr w:type="spellEnd"/>
          </w:p>
        </w:tc>
      </w:tr>
      <w:tr w:rsidR="000421CA" w:rsidRPr="00C17426" w14:paraId="4F08B9B0" w14:textId="77777777" w:rsidTr="00CC5058">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3DC8944"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Hunt, Caroline M</w:t>
            </w:r>
          </w:p>
        </w:tc>
        <w:tc>
          <w:tcPr>
            <w:tcW w:w="957" w:type="dxa"/>
            <w:noWrap/>
            <w:hideMark/>
          </w:tcPr>
          <w:p w14:paraId="3E8AB877" w14:textId="336EAE42" w:rsidR="000421CA"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50</w:t>
            </w:r>
          </w:p>
        </w:tc>
        <w:tc>
          <w:tcPr>
            <w:tcW w:w="5613" w:type="dxa"/>
            <w:hideMark/>
          </w:tcPr>
          <w:p w14:paraId="6AD380FF"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Investigation of Calcium Fluoride Nucleation and Crystal Growth Chemistry Through Ion Selective Electrode Potentiometric Titrations: Where Does Nucleation Occur?</w:t>
            </w:r>
          </w:p>
        </w:tc>
      </w:tr>
      <w:tr w:rsidR="000421CA" w:rsidRPr="00C17426" w14:paraId="158E5D74"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CC862F1"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Jaldi, Chris Davis</w:t>
            </w:r>
          </w:p>
        </w:tc>
        <w:tc>
          <w:tcPr>
            <w:tcW w:w="957" w:type="dxa"/>
            <w:noWrap/>
            <w:hideMark/>
          </w:tcPr>
          <w:p w14:paraId="4E886E66" w14:textId="7A149E77" w:rsidR="000421CA"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103-9</w:t>
            </w:r>
          </w:p>
        </w:tc>
        <w:tc>
          <w:tcPr>
            <w:tcW w:w="5613" w:type="dxa"/>
            <w:hideMark/>
          </w:tcPr>
          <w:p w14:paraId="63001765"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Kastle Lab</w:t>
            </w:r>
          </w:p>
        </w:tc>
      </w:tr>
      <w:tr w:rsidR="000421CA" w:rsidRPr="00C17426" w14:paraId="7F63F2E0" w14:textId="77777777" w:rsidTr="00CC5058">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1A3E3DD"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Jha, Shamvabi</w:t>
            </w:r>
          </w:p>
        </w:tc>
        <w:tc>
          <w:tcPr>
            <w:tcW w:w="957" w:type="dxa"/>
            <w:noWrap/>
            <w:hideMark/>
          </w:tcPr>
          <w:p w14:paraId="57695C04" w14:textId="7A5DEA2E" w:rsidR="000421CA"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51</w:t>
            </w:r>
          </w:p>
        </w:tc>
        <w:tc>
          <w:tcPr>
            <w:tcW w:w="5613" w:type="dxa"/>
            <w:hideMark/>
          </w:tcPr>
          <w:p w14:paraId="7FFBF145" w14:textId="77777777" w:rsidR="000421CA" w:rsidRPr="00DE07A1" w:rsidRDefault="000421CA"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Environmental Exposure to Hexavalent Chromium and Antibody Production in Human B-Cells</w:t>
            </w:r>
          </w:p>
        </w:tc>
      </w:tr>
      <w:tr w:rsidR="000421CA" w:rsidRPr="00C17426" w14:paraId="6FA3E4DF" w14:textId="77777777" w:rsidTr="00CC50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8698385" w14:textId="77777777" w:rsidR="000421CA" w:rsidRPr="00DE07A1" w:rsidRDefault="000421CA" w:rsidP="0033709C">
            <w:pPr>
              <w:rPr>
                <w:rFonts w:eastAsia="Times New Roman" w:cs="Arial"/>
                <w:b w:val="0"/>
                <w:bCs w:val="0"/>
                <w:color w:val="000000"/>
                <w:sz w:val="20"/>
                <w:szCs w:val="20"/>
              </w:rPr>
            </w:pPr>
            <w:r w:rsidRPr="00DE07A1">
              <w:rPr>
                <w:rFonts w:eastAsia="Times New Roman" w:cs="Arial"/>
                <w:b w:val="0"/>
                <w:bCs w:val="0"/>
                <w:color w:val="000000"/>
                <w:sz w:val="20"/>
                <w:szCs w:val="20"/>
              </w:rPr>
              <w:t>Jogi, Vijayalakshmi</w:t>
            </w:r>
          </w:p>
        </w:tc>
        <w:tc>
          <w:tcPr>
            <w:tcW w:w="957" w:type="dxa"/>
            <w:noWrap/>
            <w:hideMark/>
          </w:tcPr>
          <w:p w14:paraId="42E760CE" w14:textId="62172F54" w:rsidR="000421CA"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52</w:t>
            </w:r>
          </w:p>
        </w:tc>
        <w:tc>
          <w:tcPr>
            <w:tcW w:w="5613" w:type="dxa"/>
            <w:hideMark/>
          </w:tcPr>
          <w:p w14:paraId="4179905C" w14:textId="77777777" w:rsidR="000421CA" w:rsidRPr="00DE07A1" w:rsidRDefault="000421CA"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Development of a high-throughput assay for analyzing damaged cell-free DNA</w:t>
            </w:r>
          </w:p>
        </w:tc>
      </w:tr>
      <w:tr w:rsidR="00CC5058" w:rsidRPr="00C17426" w14:paraId="2B6C3349"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AE799E3" w14:textId="041ADE08" w:rsidR="00CC5058" w:rsidRPr="00DE07A1" w:rsidRDefault="00CC5058" w:rsidP="0033709C">
            <w:pPr>
              <w:rPr>
                <w:rFonts w:eastAsia="Times New Roman" w:cs="Arial"/>
                <w:b w:val="0"/>
                <w:bCs w:val="0"/>
                <w:color w:val="000000"/>
                <w:sz w:val="20"/>
                <w:szCs w:val="20"/>
                <w:highlight w:val="yellow"/>
              </w:rPr>
            </w:pPr>
            <w:r w:rsidRPr="00DE07A1">
              <w:rPr>
                <w:rFonts w:eastAsia="Times New Roman" w:cs="Arial"/>
                <w:b w:val="0"/>
                <w:bCs w:val="0"/>
                <w:color w:val="000000"/>
                <w:sz w:val="20"/>
                <w:szCs w:val="20"/>
              </w:rPr>
              <w:t>Johnson, Olivia Grace</w:t>
            </w:r>
          </w:p>
        </w:tc>
        <w:tc>
          <w:tcPr>
            <w:tcW w:w="957" w:type="dxa"/>
            <w:noWrap/>
            <w:hideMark/>
          </w:tcPr>
          <w:p w14:paraId="42076C56" w14:textId="461950DC" w:rsidR="00CC5058"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rPr>
            </w:pPr>
            <w:r w:rsidRPr="00A5745D">
              <w:rPr>
                <w:rFonts w:eastAsia="Times New Roman" w:cs="Arial"/>
                <w:color w:val="000000"/>
                <w:sz w:val="20"/>
                <w:szCs w:val="20"/>
              </w:rPr>
              <w:t>5</w:t>
            </w:r>
            <w:r w:rsidR="00FA5A7C">
              <w:rPr>
                <w:rFonts w:eastAsia="Times New Roman" w:cs="Arial"/>
                <w:color w:val="000000"/>
                <w:sz w:val="20"/>
                <w:szCs w:val="20"/>
              </w:rPr>
              <w:t>3</w:t>
            </w:r>
          </w:p>
        </w:tc>
        <w:tc>
          <w:tcPr>
            <w:tcW w:w="5613" w:type="dxa"/>
            <w:hideMark/>
          </w:tcPr>
          <w:p w14:paraId="31D3F509" w14:textId="30899A6E"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yellow"/>
              </w:rPr>
            </w:pPr>
            <w:r w:rsidRPr="00DE07A1">
              <w:rPr>
                <w:rFonts w:eastAsia="Times New Roman" w:cs="Arial"/>
                <w:color w:val="000000"/>
                <w:sz w:val="20"/>
                <w:szCs w:val="20"/>
              </w:rPr>
              <w:t>Tick Talk: Mapping Ohio’s tick abundance and infection status, tick by tick</w:t>
            </w:r>
          </w:p>
        </w:tc>
      </w:tr>
      <w:tr w:rsidR="00CC5058" w:rsidRPr="00C17426" w14:paraId="0538DC81"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0F84943" w14:textId="66056DF9"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Joshi, Krishna</w:t>
            </w:r>
          </w:p>
        </w:tc>
        <w:tc>
          <w:tcPr>
            <w:tcW w:w="957" w:type="dxa"/>
            <w:noWrap/>
            <w:hideMark/>
          </w:tcPr>
          <w:p w14:paraId="001F9611" w14:textId="31ED05B4" w:rsidR="00CC5058"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5</w:t>
            </w:r>
            <w:r w:rsidR="00FA5A7C">
              <w:rPr>
                <w:rFonts w:eastAsia="Times New Roman" w:cs="Arial"/>
                <w:color w:val="000000"/>
                <w:sz w:val="20"/>
                <w:szCs w:val="20"/>
              </w:rPr>
              <w:t>4</w:t>
            </w:r>
          </w:p>
        </w:tc>
        <w:tc>
          <w:tcPr>
            <w:tcW w:w="5613" w:type="dxa"/>
            <w:hideMark/>
          </w:tcPr>
          <w:p w14:paraId="56CCADEA" w14:textId="60CFA3AC"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The Impact of Psychological Support on Treatment Outcomes in Cancer Patients</w:t>
            </w:r>
          </w:p>
        </w:tc>
      </w:tr>
      <w:tr w:rsidR="00CC5058" w:rsidRPr="00C17426" w14:paraId="78097143"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16FF157" w14:textId="20BACBC1"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Kachhadiya, Kirtan Bhagwandas</w:t>
            </w:r>
          </w:p>
        </w:tc>
        <w:tc>
          <w:tcPr>
            <w:tcW w:w="957" w:type="dxa"/>
            <w:noWrap/>
            <w:hideMark/>
          </w:tcPr>
          <w:p w14:paraId="6E8A8473" w14:textId="49B25F3F" w:rsidR="00CC5058"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5</w:t>
            </w:r>
            <w:r w:rsidR="00FA5A7C">
              <w:rPr>
                <w:rFonts w:eastAsia="Times New Roman" w:cs="Arial"/>
                <w:color w:val="000000"/>
                <w:sz w:val="20"/>
                <w:szCs w:val="20"/>
              </w:rPr>
              <w:t>5</w:t>
            </w:r>
          </w:p>
        </w:tc>
        <w:tc>
          <w:tcPr>
            <w:tcW w:w="5613" w:type="dxa"/>
            <w:hideMark/>
          </w:tcPr>
          <w:p w14:paraId="5308148E" w14:textId="3B0AA2FD"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Evaluation of nano-carrier based drug delivery system in breast cancer therapy</w:t>
            </w:r>
          </w:p>
        </w:tc>
      </w:tr>
      <w:tr w:rsidR="00CC5058" w:rsidRPr="00C17426" w14:paraId="1B33E3FD"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D4B03D7" w14:textId="15B6C07F"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Kallu, Chaitanya</w:t>
            </w:r>
          </w:p>
        </w:tc>
        <w:tc>
          <w:tcPr>
            <w:tcW w:w="957" w:type="dxa"/>
            <w:noWrap/>
            <w:hideMark/>
          </w:tcPr>
          <w:p w14:paraId="61DF032E" w14:textId="316CD339" w:rsidR="00CC5058"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5</w:t>
            </w:r>
            <w:r w:rsidR="00FA5A7C">
              <w:rPr>
                <w:rFonts w:eastAsia="Times New Roman" w:cs="Arial"/>
                <w:color w:val="000000"/>
                <w:sz w:val="20"/>
                <w:szCs w:val="20"/>
              </w:rPr>
              <w:t>6</w:t>
            </w:r>
          </w:p>
        </w:tc>
        <w:tc>
          <w:tcPr>
            <w:tcW w:w="5613" w:type="dxa"/>
            <w:hideMark/>
          </w:tcPr>
          <w:p w14:paraId="4389DEC4" w14:textId="67479E10"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Efficacy of combining the immune checkpoint Inhibitors with nab-paclitaxel for triple- negative breast cancer</w:t>
            </w:r>
          </w:p>
        </w:tc>
      </w:tr>
      <w:tr w:rsidR="00CC5058" w:rsidRPr="00C17426" w14:paraId="58C25A08"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0BE3222" w14:textId="0E352EF6"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Kanneti, Rohith</w:t>
            </w:r>
          </w:p>
        </w:tc>
        <w:tc>
          <w:tcPr>
            <w:tcW w:w="957" w:type="dxa"/>
            <w:noWrap/>
            <w:hideMark/>
          </w:tcPr>
          <w:p w14:paraId="0B96184C" w14:textId="31345454" w:rsidR="00CC5058"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5</w:t>
            </w:r>
            <w:r w:rsidR="00FA5A7C">
              <w:rPr>
                <w:rFonts w:eastAsia="Times New Roman" w:cs="Arial"/>
                <w:color w:val="000000"/>
                <w:sz w:val="20"/>
                <w:szCs w:val="20"/>
              </w:rPr>
              <w:t>7</w:t>
            </w:r>
          </w:p>
        </w:tc>
        <w:tc>
          <w:tcPr>
            <w:tcW w:w="5613" w:type="dxa"/>
            <w:hideMark/>
          </w:tcPr>
          <w:p w14:paraId="182EDC33" w14:textId="14B2D93B"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Angiotensin Receptor–Neprilysin Inhibitors (ARNIs) in Modern Heart Failure Management: Mechanisms, Clinical Benefits, and Future Directions.</w:t>
            </w:r>
          </w:p>
        </w:tc>
      </w:tr>
      <w:tr w:rsidR="00CC5058" w:rsidRPr="00C17426" w14:paraId="75A190FF"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304C604" w14:textId="55964586"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Karimzadeh, Mona</w:t>
            </w:r>
          </w:p>
        </w:tc>
        <w:tc>
          <w:tcPr>
            <w:tcW w:w="957" w:type="dxa"/>
            <w:noWrap/>
            <w:hideMark/>
          </w:tcPr>
          <w:p w14:paraId="592D4A83" w14:textId="2601878C" w:rsidR="00CC5058"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5</w:t>
            </w:r>
            <w:r w:rsidR="00FA5A7C">
              <w:rPr>
                <w:rFonts w:eastAsia="Times New Roman" w:cs="Arial"/>
                <w:color w:val="000000"/>
                <w:sz w:val="20"/>
                <w:szCs w:val="20"/>
              </w:rPr>
              <w:t>8</w:t>
            </w:r>
          </w:p>
        </w:tc>
        <w:tc>
          <w:tcPr>
            <w:tcW w:w="5613" w:type="dxa"/>
            <w:hideMark/>
          </w:tcPr>
          <w:p w14:paraId="3990733C" w14:textId="792D196A"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A Comparative Study of Resilience and Suicidal Ideation in First- vs. Continuing -Generation Students </w:t>
            </w:r>
          </w:p>
        </w:tc>
      </w:tr>
      <w:tr w:rsidR="00CC5058" w:rsidRPr="00C17426" w14:paraId="67A1499D"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2447C6C" w14:textId="55495BAA"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Karnati, Bhavya Geethika</w:t>
            </w:r>
          </w:p>
        </w:tc>
        <w:tc>
          <w:tcPr>
            <w:tcW w:w="957" w:type="dxa"/>
            <w:noWrap/>
            <w:hideMark/>
          </w:tcPr>
          <w:p w14:paraId="286629C1" w14:textId="55D0C7B5" w:rsidR="00CC5058" w:rsidRPr="00DE07A1" w:rsidRDefault="00FA5A7C"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59</w:t>
            </w:r>
          </w:p>
        </w:tc>
        <w:tc>
          <w:tcPr>
            <w:tcW w:w="5613" w:type="dxa"/>
            <w:hideMark/>
          </w:tcPr>
          <w:p w14:paraId="725CA7E1" w14:textId="2FC9CF7C"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Efficacy and Safety of PPAR- γ Agonists in Type 2 Diabetes: Insights from </w:t>
            </w:r>
            <w:proofErr w:type="spellStart"/>
            <w:r w:rsidRPr="00DE07A1">
              <w:rPr>
                <w:rFonts w:eastAsia="Times New Roman" w:cs="Arial"/>
                <w:color w:val="000000"/>
                <w:sz w:val="20"/>
                <w:szCs w:val="20"/>
              </w:rPr>
              <w:t>PROactive</w:t>
            </w:r>
            <w:proofErr w:type="spellEnd"/>
            <w:r w:rsidRPr="00DE07A1">
              <w:rPr>
                <w:rFonts w:eastAsia="Times New Roman" w:cs="Arial"/>
                <w:color w:val="000000"/>
                <w:sz w:val="20"/>
                <w:szCs w:val="20"/>
              </w:rPr>
              <w:t xml:space="preserve"> and IRIS Trials</w:t>
            </w:r>
          </w:p>
        </w:tc>
      </w:tr>
      <w:tr w:rsidR="00CC5058" w:rsidRPr="00C17426" w14:paraId="5B7501EF"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191F503" w14:textId="1023C1F5"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Karnati, Mahanthi</w:t>
            </w:r>
          </w:p>
        </w:tc>
        <w:tc>
          <w:tcPr>
            <w:tcW w:w="957" w:type="dxa"/>
            <w:noWrap/>
            <w:hideMark/>
          </w:tcPr>
          <w:p w14:paraId="477139EC" w14:textId="64CC8902" w:rsidR="00CC5058"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w:t>
            </w:r>
            <w:r w:rsidR="00FA5A7C">
              <w:rPr>
                <w:rFonts w:eastAsia="Times New Roman" w:cs="Arial"/>
                <w:color w:val="000000"/>
                <w:sz w:val="20"/>
                <w:szCs w:val="20"/>
              </w:rPr>
              <w:t>0</w:t>
            </w:r>
          </w:p>
        </w:tc>
        <w:tc>
          <w:tcPr>
            <w:tcW w:w="5613" w:type="dxa"/>
            <w:hideMark/>
          </w:tcPr>
          <w:p w14:paraId="5DC7F7A9" w14:textId="61A653A1"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Cadmium-Induced Cardio-Renal Damage</w:t>
            </w:r>
          </w:p>
        </w:tc>
      </w:tr>
      <w:tr w:rsidR="00CC5058" w:rsidRPr="00C17426" w14:paraId="7B369B3F"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2D80B1C" w14:textId="5D78EC06"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Karnayana, Dharani</w:t>
            </w:r>
          </w:p>
        </w:tc>
        <w:tc>
          <w:tcPr>
            <w:tcW w:w="957" w:type="dxa"/>
            <w:noWrap/>
            <w:hideMark/>
          </w:tcPr>
          <w:p w14:paraId="252F107C" w14:textId="43B0B8A7" w:rsidR="00CC5058"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w:t>
            </w:r>
            <w:r w:rsidR="00FA5A7C">
              <w:rPr>
                <w:rFonts w:eastAsia="Times New Roman" w:cs="Arial"/>
                <w:color w:val="000000"/>
                <w:sz w:val="20"/>
                <w:szCs w:val="20"/>
              </w:rPr>
              <w:t>1</w:t>
            </w:r>
          </w:p>
        </w:tc>
        <w:tc>
          <w:tcPr>
            <w:tcW w:w="5613" w:type="dxa"/>
            <w:hideMark/>
          </w:tcPr>
          <w:p w14:paraId="19981A53" w14:textId="3AA4FBDD"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Sleep and circadian rhythm: Gatekeepers of Health and Drivers of Disease </w:t>
            </w:r>
          </w:p>
        </w:tc>
      </w:tr>
      <w:tr w:rsidR="00CC5058" w:rsidRPr="00C17426" w14:paraId="2A20A0A7"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8EEA975" w14:textId="6BC31B6B"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Kasana, Meghana</w:t>
            </w:r>
          </w:p>
        </w:tc>
        <w:tc>
          <w:tcPr>
            <w:tcW w:w="957" w:type="dxa"/>
            <w:noWrap/>
            <w:hideMark/>
          </w:tcPr>
          <w:p w14:paraId="76E7EB28" w14:textId="7C08ECEA" w:rsidR="00CC5058"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w:t>
            </w:r>
            <w:r w:rsidR="00FA5A7C">
              <w:rPr>
                <w:rFonts w:eastAsia="Times New Roman" w:cs="Arial"/>
                <w:color w:val="000000"/>
                <w:sz w:val="20"/>
                <w:szCs w:val="20"/>
              </w:rPr>
              <w:t>2</w:t>
            </w:r>
          </w:p>
        </w:tc>
        <w:tc>
          <w:tcPr>
            <w:tcW w:w="5613" w:type="dxa"/>
            <w:hideMark/>
          </w:tcPr>
          <w:p w14:paraId="3A354EE6" w14:textId="0D5C61BF"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Efficacy and safety of human papilloma virus vaccines in cervical cancer prevention</w:t>
            </w:r>
          </w:p>
        </w:tc>
      </w:tr>
      <w:tr w:rsidR="00CC5058" w:rsidRPr="00C17426" w14:paraId="6AEAE3F1"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0BFEB01" w14:textId="2ACCCB1B"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lastRenderedPageBreak/>
              <w:t>Katkuri, Rithika</w:t>
            </w:r>
          </w:p>
        </w:tc>
        <w:tc>
          <w:tcPr>
            <w:tcW w:w="957" w:type="dxa"/>
            <w:noWrap/>
            <w:hideMark/>
          </w:tcPr>
          <w:p w14:paraId="1DA75204" w14:textId="2948F9A5" w:rsidR="00CC5058"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w:t>
            </w:r>
            <w:r w:rsidR="00FA5A7C">
              <w:rPr>
                <w:rFonts w:eastAsia="Times New Roman" w:cs="Arial"/>
                <w:color w:val="000000"/>
                <w:sz w:val="20"/>
                <w:szCs w:val="20"/>
              </w:rPr>
              <w:t>3</w:t>
            </w:r>
          </w:p>
        </w:tc>
        <w:tc>
          <w:tcPr>
            <w:tcW w:w="5613" w:type="dxa"/>
            <w:hideMark/>
          </w:tcPr>
          <w:p w14:paraId="37023653" w14:textId="3289F625"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Oral GLP 1 Receptor Agonists for Obesity : Comparative Efficacy , Safety and Adherence Outcomes </w:t>
            </w:r>
          </w:p>
        </w:tc>
      </w:tr>
      <w:tr w:rsidR="00CC5058" w:rsidRPr="00C17426" w14:paraId="56457923"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03793EE" w14:textId="3B58F97F"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Khalid, Nishat</w:t>
            </w:r>
          </w:p>
        </w:tc>
        <w:tc>
          <w:tcPr>
            <w:tcW w:w="957" w:type="dxa"/>
            <w:noWrap/>
            <w:hideMark/>
          </w:tcPr>
          <w:p w14:paraId="7F32E334" w14:textId="19EF52EC" w:rsidR="00CC5058"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w:t>
            </w:r>
            <w:r w:rsidR="00FA5A7C">
              <w:rPr>
                <w:rFonts w:eastAsia="Times New Roman" w:cs="Arial"/>
                <w:color w:val="000000"/>
                <w:sz w:val="20"/>
                <w:szCs w:val="20"/>
              </w:rPr>
              <w:t>4</w:t>
            </w:r>
          </w:p>
        </w:tc>
        <w:tc>
          <w:tcPr>
            <w:tcW w:w="5613" w:type="dxa"/>
            <w:hideMark/>
          </w:tcPr>
          <w:p w14:paraId="5E43489C" w14:textId="417E7F40"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Lipin1 Regulates Satellite Cell Function and Skeletal Muscle Regeneration in Dystrophic Muscle</w:t>
            </w:r>
          </w:p>
        </w:tc>
      </w:tr>
      <w:tr w:rsidR="00CC5058" w:rsidRPr="00C17426" w14:paraId="253A8216"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2452635" w14:textId="57E9C9D6"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Khan, Kinza</w:t>
            </w:r>
          </w:p>
        </w:tc>
        <w:tc>
          <w:tcPr>
            <w:tcW w:w="957" w:type="dxa"/>
            <w:noWrap/>
            <w:hideMark/>
          </w:tcPr>
          <w:p w14:paraId="71D787B5" w14:textId="58D8B468" w:rsidR="00CC5058"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w:t>
            </w:r>
            <w:r w:rsidR="00FA5A7C">
              <w:rPr>
                <w:rFonts w:eastAsia="Times New Roman" w:cs="Arial"/>
                <w:color w:val="000000"/>
                <w:sz w:val="20"/>
                <w:szCs w:val="20"/>
              </w:rPr>
              <w:t>5</w:t>
            </w:r>
          </w:p>
        </w:tc>
        <w:tc>
          <w:tcPr>
            <w:tcW w:w="5613" w:type="dxa"/>
            <w:hideMark/>
          </w:tcPr>
          <w:p w14:paraId="747E1D64" w14:textId="3F1EB536"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Analyzing the Square Wave Anodic Stripping Voltammetry of Heavy Metal Ions Such As Antimony. </w:t>
            </w:r>
          </w:p>
        </w:tc>
      </w:tr>
      <w:tr w:rsidR="00CC5058" w:rsidRPr="00C17426" w14:paraId="183AA7F6"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09D4A1A" w14:textId="52C4499B"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Khebreesh, Togaa Khalifa</w:t>
            </w:r>
          </w:p>
        </w:tc>
        <w:tc>
          <w:tcPr>
            <w:tcW w:w="957" w:type="dxa"/>
            <w:noWrap/>
            <w:hideMark/>
          </w:tcPr>
          <w:p w14:paraId="3D30A58E" w14:textId="3C6319BD" w:rsidR="00CC5058"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w:t>
            </w:r>
            <w:r w:rsidR="00FA5A7C">
              <w:rPr>
                <w:rFonts w:eastAsia="Times New Roman" w:cs="Arial"/>
                <w:color w:val="000000"/>
                <w:sz w:val="20"/>
                <w:szCs w:val="20"/>
              </w:rPr>
              <w:t>6</w:t>
            </w:r>
          </w:p>
        </w:tc>
        <w:tc>
          <w:tcPr>
            <w:tcW w:w="5613" w:type="dxa"/>
            <w:hideMark/>
          </w:tcPr>
          <w:p w14:paraId="0E4C17D3" w14:textId="3207F75F"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Beyond MS-222: Evaluating Alternative Anesthetics for Stress and Recovery in American Bullfrog Tadpoles</w:t>
            </w:r>
          </w:p>
        </w:tc>
      </w:tr>
      <w:tr w:rsidR="00CC5058" w:rsidRPr="00C17426" w14:paraId="0729E12F"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D4A4596" w14:textId="68E01D40"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Komatineni, Poorna Pranavi</w:t>
            </w:r>
          </w:p>
        </w:tc>
        <w:tc>
          <w:tcPr>
            <w:tcW w:w="957" w:type="dxa"/>
            <w:noWrap/>
            <w:hideMark/>
          </w:tcPr>
          <w:p w14:paraId="455C4E54" w14:textId="4F2E6530" w:rsidR="00CC5058"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w:t>
            </w:r>
            <w:r w:rsidR="00FA5A7C">
              <w:rPr>
                <w:rFonts w:eastAsia="Times New Roman" w:cs="Arial"/>
                <w:color w:val="000000"/>
                <w:sz w:val="20"/>
                <w:szCs w:val="20"/>
              </w:rPr>
              <w:t>7</w:t>
            </w:r>
          </w:p>
        </w:tc>
        <w:tc>
          <w:tcPr>
            <w:tcW w:w="5613" w:type="dxa"/>
            <w:hideMark/>
          </w:tcPr>
          <w:p w14:paraId="0135C742" w14:textId="38208D3C"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Does perfluorooctanoic acid (PFOA) exposure alter antibody production and gene expression in human B cells?</w:t>
            </w:r>
          </w:p>
        </w:tc>
      </w:tr>
      <w:tr w:rsidR="00CC5058" w:rsidRPr="00C17426" w14:paraId="6AAE7C47"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CB07003" w14:textId="7AD463D6"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Kuntamukkala, Sai Chand</w:t>
            </w:r>
          </w:p>
        </w:tc>
        <w:tc>
          <w:tcPr>
            <w:tcW w:w="957" w:type="dxa"/>
            <w:noWrap/>
            <w:hideMark/>
          </w:tcPr>
          <w:p w14:paraId="47C60150" w14:textId="35BA1688" w:rsidR="00CC5058"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w:t>
            </w:r>
            <w:r w:rsidR="00FA5A7C">
              <w:rPr>
                <w:rFonts w:eastAsia="Times New Roman" w:cs="Arial"/>
                <w:color w:val="000000"/>
                <w:sz w:val="20"/>
                <w:szCs w:val="20"/>
              </w:rPr>
              <w:t>8</w:t>
            </w:r>
          </w:p>
        </w:tc>
        <w:tc>
          <w:tcPr>
            <w:tcW w:w="5613" w:type="dxa"/>
            <w:hideMark/>
          </w:tcPr>
          <w:p w14:paraId="122D309C" w14:textId="426E2603"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proofErr w:type="spellStart"/>
            <w:r w:rsidRPr="00DE07A1">
              <w:rPr>
                <w:rFonts w:eastAsia="Times New Roman" w:cs="Arial"/>
                <w:color w:val="000000"/>
                <w:sz w:val="20"/>
                <w:szCs w:val="20"/>
              </w:rPr>
              <w:t>Finerenone</w:t>
            </w:r>
            <w:proofErr w:type="spellEnd"/>
            <w:r w:rsidRPr="00DE07A1">
              <w:rPr>
                <w:rFonts w:eastAsia="Times New Roman" w:cs="Arial"/>
                <w:color w:val="000000"/>
                <w:sz w:val="20"/>
                <w:szCs w:val="20"/>
              </w:rPr>
              <w:t xml:space="preserve">: A Novel Non-Steroidal Mineralocorticoid Receptor Antagonist in Heart Failure Management. </w:t>
            </w:r>
          </w:p>
        </w:tc>
      </w:tr>
      <w:tr w:rsidR="00CC5058" w:rsidRPr="00C17426" w14:paraId="5FC125FA"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2E2A50E" w14:textId="3B0822F4"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Kuntz, Zachary Keith</w:t>
            </w:r>
          </w:p>
        </w:tc>
        <w:tc>
          <w:tcPr>
            <w:tcW w:w="957" w:type="dxa"/>
            <w:noWrap/>
            <w:hideMark/>
          </w:tcPr>
          <w:p w14:paraId="0BE2EE32" w14:textId="23AB2BAD" w:rsidR="00CC5058" w:rsidRPr="00DE07A1" w:rsidRDefault="00FA5A7C"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69</w:t>
            </w:r>
          </w:p>
        </w:tc>
        <w:tc>
          <w:tcPr>
            <w:tcW w:w="5613" w:type="dxa"/>
            <w:hideMark/>
          </w:tcPr>
          <w:p w14:paraId="1BD89B0E" w14:textId="0BEC419B"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Lipin1 upregulation Reduces Fibrosis and Preserves Muscle Integrity in Duchenne Muscular Dystrophy</w:t>
            </w:r>
          </w:p>
        </w:tc>
      </w:tr>
      <w:tr w:rsidR="00CC5058" w:rsidRPr="00C17426" w14:paraId="5267AF8D"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FDAC303" w14:textId="16409768"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Kurtz, Rebecca Anne</w:t>
            </w:r>
          </w:p>
        </w:tc>
        <w:tc>
          <w:tcPr>
            <w:tcW w:w="957" w:type="dxa"/>
            <w:noWrap/>
            <w:hideMark/>
          </w:tcPr>
          <w:p w14:paraId="5677FFBD" w14:textId="2B49CAB4" w:rsidR="00CC5058" w:rsidRPr="00DE07A1" w:rsidRDefault="00AF5BB2"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w:t>
            </w:r>
            <w:r w:rsidR="00FA5A7C">
              <w:rPr>
                <w:rFonts w:eastAsia="Times New Roman" w:cs="Arial"/>
                <w:color w:val="000000"/>
                <w:sz w:val="20"/>
                <w:szCs w:val="20"/>
              </w:rPr>
              <w:t>0</w:t>
            </w:r>
          </w:p>
        </w:tc>
        <w:tc>
          <w:tcPr>
            <w:tcW w:w="5613" w:type="dxa"/>
            <w:hideMark/>
          </w:tcPr>
          <w:p w14:paraId="549AD199" w14:textId="7A3F1FCF"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Stepping up the STEM Classroom: Collaborative Investigations of the Vernal Pool Phenomenon</w:t>
            </w:r>
          </w:p>
        </w:tc>
      </w:tr>
      <w:tr w:rsidR="00CC5058" w:rsidRPr="00C17426" w14:paraId="553F5FE2"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EC68D4F" w14:textId="37422080"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LaRosa, Danya Lynn</w:t>
            </w:r>
          </w:p>
        </w:tc>
        <w:tc>
          <w:tcPr>
            <w:tcW w:w="957" w:type="dxa"/>
            <w:noWrap/>
            <w:hideMark/>
          </w:tcPr>
          <w:p w14:paraId="52280EC7" w14:textId="0ADA992F" w:rsidR="00CC5058" w:rsidRPr="00DE07A1" w:rsidRDefault="00AF5BB2"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w:t>
            </w:r>
            <w:r w:rsidR="00FA5A7C">
              <w:rPr>
                <w:rFonts w:eastAsia="Times New Roman" w:cs="Arial"/>
                <w:color w:val="000000"/>
                <w:sz w:val="20"/>
                <w:szCs w:val="20"/>
              </w:rPr>
              <w:t>1</w:t>
            </w:r>
          </w:p>
        </w:tc>
        <w:tc>
          <w:tcPr>
            <w:tcW w:w="5613" w:type="dxa"/>
            <w:hideMark/>
          </w:tcPr>
          <w:p w14:paraId="65CBC487" w14:textId="483368E9"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Francoise </w:t>
            </w:r>
            <w:proofErr w:type="spellStart"/>
            <w:r w:rsidRPr="00DE07A1">
              <w:rPr>
                <w:rFonts w:eastAsia="Times New Roman" w:cs="Arial"/>
                <w:color w:val="000000"/>
                <w:sz w:val="20"/>
                <w:szCs w:val="20"/>
              </w:rPr>
              <w:t>d'aubigne</w:t>
            </w:r>
            <w:proofErr w:type="spellEnd"/>
            <w:r w:rsidRPr="00DE07A1">
              <w:rPr>
                <w:rFonts w:eastAsia="Times New Roman" w:cs="Arial"/>
                <w:color w:val="000000"/>
                <w:sz w:val="20"/>
                <w:szCs w:val="20"/>
              </w:rPr>
              <w:t>: Mme. de Maintenon and the Maison Royale de St. Cyr</w:t>
            </w:r>
          </w:p>
        </w:tc>
      </w:tr>
      <w:tr w:rsidR="00CC5058" w:rsidRPr="00C17426" w14:paraId="5F74037C"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B4E5011" w14:textId="5026322A"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Lawler, Christopher James</w:t>
            </w:r>
          </w:p>
        </w:tc>
        <w:tc>
          <w:tcPr>
            <w:tcW w:w="957" w:type="dxa"/>
            <w:noWrap/>
            <w:hideMark/>
          </w:tcPr>
          <w:p w14:paraId="06629CC2" w14:textId="4CB32DFF" w:rsidR="00CC5058" w:rsidRPr="00DE07A1" w:rsidRDefault="00BC2305"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136</w:t>
            </w:r>
          </w:p>
        </w:tc>
        <w:tc>
          <w:tcPr>
            <w:tcW w:w="5613" w:type="dxa"/>
            <w:hideMark/>
          </w:tcPr>
          <w:p w14:paraId="10246644" w14:textId="38C8F3FA"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Take Five: The </w:t>
            </w:r>
            <w:proofErr w:type="spellStart"/>
            <w:r w:rsidRPr="00DE07A1">
              <w:rPr>
                <w:rFonts w:eastAsia="Times New Roman" w:cs="Arial"/>
                <w:color w:val="000000"/>
                <w:sz w:val="20"/>
                <w:szCs w:val="20"/>
              </w:rPr>
              <w:t>Affects</w:t>
            </w:r>
            <w:proofErr w:type="spellEnd"/>
            <w:r w:rsidRPr="00DE07A1">
              <w:rPr>
                <w:rFonts w:eastAsia="Times New Roman" w:cs="Arial"/>
                <w:color w:val="000000"/>
                <w:sz w:val="20"/>
                <w:szCs w:val="20"/>
              </w:rPr>
              <w:t xml:space="preserve"> of the Visual and Performative Arts on Individuals with Intellectual and Physical Disabilities</w:t>
            </w:r>
          </w:p>
        </w:tc>
      </w:tr>
      <w:tr w:rsidR="00CC5058" w:rsidRPr="00C17426" w14:paraId="5C4FE9F4"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0B6A283" w14:textId="31CE87D4"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Lekkala, Kavya</w:t>
            </w:r>
          </w:p>
        </w:tc>
        <w:tc>
          <w:tcPr>
            <w:tcW w:w="957" w:type="dxa"/>
            <w:noWrap/>
            <w:hideMark/>
          </w:tcPr>
          <w:p w14:paraId="798535BB" w14:textId="6F9D53F1" w:rsidR="00CC5058" w:rsidRPr="00DE07A1" w:rsidRDefault="00BC2305"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w:t>
            </w:r>
            <w:r w:rsidR="00FA5A7C">
              <w:rPr>
                <w:rFonts w:eastAsia="Times New Roman" w:cs="Arial"/>
                <w:color w:val="000000"/>
                <w:sz w:val="20"/>
                <w:szCs w:val="20"/>
              </w:rPr>
              <w:t>2</w:t>
            </w:r>
          </w:p>
        </w:tc>
        <w:tc>
          <w:tcPr>
            <w:tcW w:w="5613" w:type="dxa"/>
            <w:hideMark/>
          </w:tcPr>
          <w:p w14:paraId="066B4558" w14:textId="64686DBC"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Clinical Evidence of Association Between Type – 2 Diabetes Mellitus and Hypothyroidism with Therapeutic Relevance – An Observational Study</w:t>
            </w:r>
          </w:p>
        </w:tc>
      </w:tr>
      <w:tr w:rsidR="00CC5058" w:rsidRPr="00C17426" w14:paraId="003F019D"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0CF1D32" w14:textId="5222CA13"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Lippincott, Callie</w:t>
            </w:r>
          </w:p>
        </w:tc>
        <w:tc>
          <w:tcPr>
            <w:tcW w:w="957" w:type="dxa"/>
            <w:noWrap/>
            <w:hideMark/>
          </w:tcPr>
          <w:p w14:paraId="249FBBB1" w14:textId="7C616EC1" w:rsidR="00CC5058" w:rsidRPr="00DE07A1" w:rsidRDefault="00BC2305"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w:t>
            </w:r>
            <w:r w:rsidR="00FA5A7C">
              <w:rPr>
                <w:rFonts w:eastAsia="Times New Roman" w:cs="Arial"/>
                <w:color w:val="000000"/>
                <w:sz w:val="20"/>
                <w:szCs w:val="20"/>
              </w:rPr>
              <w:t>3</w:t>
            </w:r>
          </w:p>
        </w:tc>
        <w:tc>
          <w:tcPr>
            <w:tcW w:w="5613" w:type="dxa"/>
            <w:hideMark/>
          </w:tcPr>
          <w:p w14:paraId="1EF03571" w14:textId="28313DE2"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Set Design of The Game's Afoot</w:t>
            </w:r>
          </w:p>
        </w:tc>
      </w:tr>
      <w:tr w:rsidR="00CC5058" w:rsidRPr="00C17426" w14:paraId="6500B2C2"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C2D9FCB" w14:textId="5627CDAB"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Lowe, Addison</w:t>
            </w:r>
          </w:p>
        </w:tc>
        <w:tc>
          <w:tcPr>
            <w:tcW w:w="957" w:type="dxa"/>
            <w:noWrap/>
            <w:hideMark/>
          </w:tcPr>
          <w:p w14:paraId="4D57EFF9" w14:textId="58B855AA" w:rsidR="00CC5058" w:rsidRPr="00DE07A1" w:rsidRDefault="00BC2305"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w:t>
            </w:r>
            <w:r w:rsidR="00FA5A7C">
              <w:rPr>
                <w:rFonts w:eastAsia="Times New Roman" w:cs="Arial"/>
                <w:color w:val="000000"/>
                <w:sz w:val="20"/>
                <w:szCs w:val="20"/>
              </w:rPr>
              <w:t>4</w:t>
            </w:r>
          </w:p>
        </w:tc>
        <w:tc>
          <w:tcPr>
            <w:tcW w:w="5613" w:type="dxa"/>
            <w:hideMark/>
          </w:tcPr>
          <w:p w14:paraId="419DFD06" w14:textId="2CBFAABE"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The Potential Effects of Xenobiotics and Hormonal Stress on Human Antibody Production</w:t>
            </w:r>
          </w:p>
        </w:tc>
      </w:tr>
      <w:tr w:rsidR="00CC5058" w:rsidRPr="00C17426" w14:paraId="52ACACC0"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6D6A5AD" w14:textId="11A95300"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Lunaria, Khong</w:t>
            </w:r>
          </w:p>
        </w:tc>
        <w:tc>
          <w:tcPr>
            <w:tcW w:w="957" w:type="dxa"/>
            <w:noWrap/>
            <w:hideMark/>
          </w:tcPr>
          <w:p w14:paraId="539EB896" w14:textId="553C27F7" w:rsidR="00CC5058" w:rsidRPr="00DE07A1" w:rsidRDefault="00BC2305"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w:t>
            </w:r>
            <w:r w:rsidR="00FA5A7C">
              <w:rPr>
                <w:rFonts w:eastAsia="Times New Roman" w:cs="Arial"/>
                <w:color w:val="000000"/>
                <w:sz w:val="20"/>
                <w:szCs w:val="20"/>
              </w:rPr>
              <w:t>5</w:t>
            </w:r>
          </w:p>
        </w:tc>
        <w:tc>
          <w:tcPr>
            <w:tcW w:w="5613" w:type="dxa"/>
            <w:hideMark/>
          </w:tcPr>
          <w:p w14:paraId="0B1C2B10" w14:textId="1D341B41"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Geographic patterns of tropical insect parasitoids in the eye of the TIGER: a bristle-by-bristle look at diversity</w:t>
            </w:r>
          </w:p>
        </w:tc>
      </w:tr>
      <w:tr w:rsidR="00CC5058" w:rsidRPr="00C17426" w14:paraId="3EFAFA49"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56C1479" w14:textId="55A6D80E"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Maharjan, Denish</w:t>
            </w:r>
          </w:p>
        </w:tc>
        <w:tc>
          <w:tcPr>
            <w:tcW w:w="957" w:type="dxa"/>
            <w:noWrap/>
            <w:hideMark/>
          </w:tcPr>
          <w:p w14:paraId="5E5A2DD0" w14:textId="52EDE55F" w:rsidR="00CC5058" w:rsidRPr="00DE07A1" w:rsidRDefault="00174689"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w:t>
            </w:r>
            <w:r w:rsidR="00FA5A7C">
              <w:rPr>
                <w:rFonts w:eastAsia="Times New Roman" w:cs="Arial"/>
                <w:color w:val="000000"/>
                <w:sz w:val="20"/>
                <w:szCs w:val="20"/>
              </w:rPr>
              <w:t>6</w:t>
            </w:r>
          </w:p>
        </w:tc>
        <w:tc>
          <w:tcPr>
            <w:tcW w:w="5613" w:type="dxa"/>
            <w:hideMark/>
          </w:tcPr>
          <w:p w14:paraId="449C65D2" w14:textId="3FADF8FE"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Therapeutic Evaluation of Lipin1 in the D2.mdx Mouse Model of Duchenne Muscular Dystrophy</w:t>
            </w:r>
          </w:p>
        </w:tc>
      </w:tr>
      <w:tr w:rsidR="00CC5058" w:rsidRPr="00C17426" w14:paraId="0800DE1A"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D60A9EC" w14:textId="7FA90A7C"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Mallets, Joshua Robert</w:t>
            </w:r>
          </w:p>
        </w:tc>
        <w:tc>
          <w:tcPr>
            <w:tcW w:w="957" w:type="dxa"/>
            <w:noWrap/>
            <w:hideMark/>
          </w:tcPr>
          <w:p w14:paraId="40638FB0" w14:textId="149607C8" w:rsidR="00CC5058" w:rsidRPr="00DE07A1" w:rsidRDefault="00174689"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w:t>
            </w:r>
            <w:r w:rsidR="00FA5A7C">
              <w:rPr>
                <w:rFonts w:eastAsia="Times New Roman" w:cs="Arial"/>
                <w:color w:val="000000"/>
                <w:sz w:val="20"/>
                <w:szCs w:val="20"/>
              </w:rPr>
              <w:t>7</w:t>
            </w:r>
          </w:p>
        </w:tc>
        <w:tc>
          <w:tcPr>
            <w:tcW w:w="5613" w:type="dxa"/>
            <w:hideMark/>
          </w:tcPr>
          <w:p w14:paraId="468C1B51" w14:textId="228C323A"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Microneedle Biosensors for Measurement of Biomarkers in the Interstitial Fluid</w:t>
            </w:r>
          </w:p>
        </w:tc>
      </w:tr>
      <w:tr w:rsidR="00CC5058" w:rsidRPr="00C17426" w14:paraId="2F32A809"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4553F99" w14:textId="0DA84371"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Mansfield, Rachel Hamilton</w:t>
            </w:r>
          </w:p>
        </w:tc>
        <w:tc>
          <w:tcPr>
            <w:tcW w:w="957" w:type="dxa"/>
            <w:noWrap/>
            <w:hideMark/>
          </w:tcPr>
          <w:p w14:paraId="7575943D" w14:textId="773E8BEE" w:rsidR="00CC5058" w:rsidRPr="00DE07A1" w:rsidRDefault="00174689"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w:t>
            </w:r>
            <w:r w:rsidR="00FA5A7C">
              <w:rPr>
                <w:rFonts w:eastAsia="Times New Roman" w:cs="Arial"/>
                <w:color w:val="000000"/>
                <w:sz w:val="20"/>
                <w:szCs w:val="20"/>
              </w:rPr>
              <w:t>8</w:t>
            </w:r>
          </w:p>
        </w:tc>
        <w:tc>
          <w:tcPr>
            <w:tcW w:w="5613" w:type="dxa"/>
            <w:hideMark/>
          </w:tcPr>
          <w:p w14:paraId="3AC4E930" w14:textId="490912C9"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Improving Secretive Marsh Birds Detection with Acoustic Monitoring</w:t>
            </w:r>
          </w:p>
        </w:tc>
      </w:tr>
      <w:tr w:rsidR="00CC5058" w:rsidRPr="00C17426" w14:paraId="08E63F14"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56533B1" w14:textId="53FA3879"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Marker, Laura</w:t>
            </w:r>
          </w:p>
        </w:tc>
        <w:tc>
          <w:tcPr>
            <w:tcW w:w="957" w:type="dxa"/>
            <w:noWrap/>
            <w:hideMark/>
          </w:tcPr>
          <w:p w14:paraId="567CDFA5" w14:textId="527E1538" w:rsidR="00CC5058" w:rsidRPr="00DE07A1" w:rsidRDefault="00FA5A7C"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79</w:t>
            </w:r>
          </w:p>
        </w:tc>
        <w:tc>
          <w:tcPr>
            <w:tcW w:w="5613" w:type="dxa"/>
            <w:hideMark/>
          </w:tcPr>
          <w:p w14:paraId="0F9CAEB0" w14:textId="000C9B57"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Grit and Academic Survivors: Persistence to Graduation Among College Seniors with GPAs Between 2.0 and 2.9</w:t>
            </w:r>
          </w:p>
        </w:tc>
      </w:tr>
      <w:tr w:rsidR="00CC5058" w:rsidRPr="00C17426" w14:paraId="4B6BCB51"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40E8B08" w14:textId="414B24A2"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McLaughlin, Caroline</w:t>
            </w:r>
          </w:p>
        </w:tc>
        <w:tc>
          <w:tcPr>
            <w:tcW w:w="957" w:type="dxa"/>
            <w:noWrap/>
            <w:hideMark/>
          </w:tcPr>
          <w:p w14:paraId="3CF85E30" w14:textId="225313A6" w:rsidR="00CC5058" w:rsidRPr="00DE07A1" w:rsidRDefault="000E6243"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w:t>
            </w:r>
            <w:r w:rsidR="00FA5A7C">
              <w:rPr>
                <w:rFonts w:eastAsia="Times New Roman" w:cs="Arial"/>
                <w:color w:val="000000"/>
                <w:sz w:val="20"/>
                <w:szCs w:val="20"/>
              </w:rPr>
              <w:t>0</w:t>
            </w:r>
          </w:p>
        </w:tc>
        <w:tc>
          <w:tcPr>
            <w:tcW w:w="5613" w:type="dxa"/>
            <w:hideMark/>
          </w:tcPr>
          <w:p w14:paraId="1F423EB1" w14:textId="12760D4E"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TIP60 regulation of PTEN expression and localization is associated with resistance to cisplatin in squamous cell carcinoma</w:t>
            </w:r>
          </w:p>
        </w:tc>
      </w:tr>
      <w:tr w:rsidR="00CC5058" w:rsidRPr="00C17426" w14:paraId="0E968B75"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163B30E" w14:textId="6D368FE2"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McNeil, Arian K</w:t>
            </w:r>
          </w:p>
        </w:tc>
        <w:tc>
          <w:tcPr>
            <w:tcW w:w="957" w:type="dxa"/>
            <w:noWrap/>
            <w:hideMark/>
          </w:tcPr>
          <w:p w14:paraId="68D8BE48" w14:textId="02F224AA" w:rsidR="00CC5058" w:rsidRPr="00DE07A1" w:rsidRDefault="000E6243"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w:t>
            </w:r>
            <w:r w:rsidR="00FA5A7C">
              <w:rPr>
                <w:rFonts w:eastAsia="Times New Roman" w:cs="Arial"/>
                <w:color w:val="000000"/>
                <w:sz w:val="20"/>
                <w:szCs w:val="20"/>
              </w:rPr>
              <w:t>1</w:t>
            </w:r>
          </w:p>
        </w:tc>
        <w:tc>
          <w:tcPr>
            <w:tcW w:w="5613" w:type="dxa"/>
            <w:hideMark/>
          </w:tcPr>
          <w:p w14:paraId="5E08B1B6" w14:textId="281AB37B"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C-Fiber Hyperexcitability After Acute Nerve Compression of Mouse Sciatic Nerve</w:t>
            </w:r>
          </w:p>
        </w:tc>
      </w:tr>
      <w:tr w:rsidR="00CC5058" w:rsidRPr="00C17426" w14:paraId="29D03CE6"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070B00A" w14:textId="5946051E"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Mccain, Michael Edward</w:t>
            </w:r>
          </w:p>
        </w:tc>
        <w:tc>
          <w:tcPr>
            <w:tcW w:w="957" w:type="dxa"/>
            <w:noWrap/>
            <w:hideMark/>
          </w:tcPr>
          <w:p w14:paraId="3E1E53BD" w14:textId="78A3948D" w:rsidR="00CC5058" w:rsidRPr="00DE07A1" w:rsidRDefault="000E6243"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103-10</w:t>
            </w:r>
          </w:p>
        </w:tc>
        <w:tc>
          <w:tcPr>
            <w:tcW w:w="5613" w:type="dxa"/>
            <w:hideMark/>
          </w:tcPr>
          <w:p w14:paraId="2C7F46EA" w14:textId="0C94F6C5"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KASTLE Lab presents KASTLE Lab</w:t>
            </w:r>
          </w:p>
        </w:tc>
      </w:tr>
      <w:tr w:rsidR="00CC5058" w:rsidRPr="00C17426" w14:paraId="4E725A39"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4BD1EBE" w14:textId="225D1372"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Miller, Emily</w:t>
            </w:r>
          </w:p>
        </w:tc>
        <w:tc>
          <w:tcPr>
            <w:tcW w:w="957" w:type="dxa"/>
            <w:noWrap/>
            <w:hideMark/>
          </w:tcPr>
          <w:p w14:paraId="56513B09" w14:textId="70028FE5" w:rsidR="00CC5058" w:rsidRPr="00DE07A1" w:rsidRDefault="000E6243"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103-11</w:t>
            </w:r>
          </w:p>
        </w:tc>
        <w:tc>
          <w:tcPr>
            <w:tcW w:w="5613" w:type="dxa"/>
            <w:hideMark/>
          </w:tcPr>
          <w:p w14:paraId="0552A436" w14:textId="436EE599"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A Knowledge Graph for the Detection of Malware Behavior in Executables</w:t>
            </w:r>
          </w:p>
        </w:tc>
      </w:tr>
      <w:tr w:rsidR="00CC5058" w:rsidRPr="00C17426" w14:paraId="301FEA4F"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3FC15CD" w14:textId="73D74CBF"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Mills, Emerson</w:t>
            </w:r>
          </w:p>
        </w:tc>
        <w:tc>
          <w:tcPr>
            <w:tcW w:w="957" w:type="dxa"/>
            <w:noWrap/>
            <w:hideMark/>
          </w:tcPr>
          <w:p w14:paraId="48DD0BD3" w14:textId="153A369E" w:rsidR="00CC5058" w:rsidRPr="00DE07A1" w:rsidRDefault="000E6243"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w:t>
            </w:r>
            <w:r w:rsidR="00FA5A7C">
              <w:rPr>
                <w:rFonts w:eastAsia="Times New Roman" w:cs="Arial"/>
                <w:color w:val="000000"/>
                <w:sz w:val="20"/>
                <w:szCs w:val="20"/>
              </w:rPr>
              <w:t>2</w:t>
            </w:r>
          </w:p>
        </w:tc>
        <w:tc>
          <w:tcPr>
            <w:tcW w:w="5613" w:type="dxa"/>
            <w:hideMark/>
          </w:tcPr>
          <w:p w14:paraId="631B79E3" w14:textId="4161E8D8"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Unseen and Unaddressed: Barriers to Identifying IPV-Related Traumatic Brain Injuries </w:t>
            </w:r>
          </w:p>
        </w:tc>
      </w:tr>
      <w:tr w:rsidR="00CC5058" w:rsidRPr="00C17426" w14:paraId="0BF679AA"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36CA14E" w14:textId="680E3C15"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lastRenderedPageBreak/>
              <w:t>Minassian, Christina</w:t>
            </w:r>
          </w:p>
        </w:tc>
        <w:tc>
          <w:tcPr>
            <w:tcW w:w="957" w:type="dxa"/>
            <w:noWrap/>
            <w:hideMark/>
          </w:tcPr>
          <w:p w14:paraId="0975078E" w14:textId="4EB5CC56" w:rsidR="00CC5058" w:rsidRPr="00DE07A1" w:rsidRDefault="000E6243"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w:t>
            </w:r>
            <w:r w:rsidR="00FA5A7C">
              <w:rPr>
                <w:rFonts w:eastAsia="Times New Roman" w:cs="Arial"/>
                <w:color w:val="000000"/>
                <w:sz w:val="20"/>
                <w:szCs w:val="20"/>
              </w:rPr>
              <w:t>3</w:t>
            </w:r>
          </w:p>
        </w:tc>
        <w:tc>
          <w:tcPr>
            <w:tcW w:w="5613" w:type="dxa"/>
            <w:hideMark/>
          </w:tcPr>
          <w:p w14:paraId="69AF7A5F" w14:textId="4DC23868"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Investigating the Enhancer Effect of Membrane Trafficking Proteins on α-synuclein Toxicity</w:t>
            </w:r>
          </w:p>
        </w:tc>
      </w:tr>
      <w:tr w:rsidR="00CC5058" w:rsidRPr="00C17426" w14:paraId="2BDE0C6A"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9A6187F" w14:textId="65479640"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Mohamed, Shahd Fathi</w:t>
            </w:r>
          </w:p>
        </w:tc>
        <w:tc>
          <w:tcPr>
            <w:tcW w:w="957" w:type="dxa"/>
            <w:noWrap/>
            <w:hideMark/>
          </w:tcPr>
          <w:p w14:paraId="44067A48" w14:textId="7E9FC2FC" w:rsidR="00CC5058" w:rsidRPr="00DE07A1" w:rsidRDefault="000E6243"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w:t>
            </w:r>
            <w:r w:rsidR="00FA5A7C">
              <w:rPr>
                <w:rFonts w:eastAsia="Times New Roman" w:cs="Arial"/>
                <w:color w:val="000000"/>
                <w:sz w:val="20"/>
                <w:szCs w:val="20"/>
              </w:rPr>
              <w:t>4</w:t>
            </w:r>
          </w:p>
        </w:tc>
        <w:tc>
          <w:tcPr>
            <w:tcW w:w="5613" w:type="dxa"/>
            <w:hideMark/>
          </w:tcPr>
          <w:p w14:paraId="478DF432" w14:textId="14AA4096"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FBXL16 Depletion Activates p38-Mediated Apoptosis in Lung cancer and Breast  Cancer Cells</w:t>
            </w:r>
          </w:p>
        </w:tc>
      </w:tr>
      <w:tr w:rsidR="00CC5058" w:rsidRPr="00C17426" w14:paraId="052BBBD4"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08F07B8" w14:textId="5937C46A"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Mohan, Sonali</w:t>
            </w:r>
          </w:p>
        </w:tc>
        <w:tc>
          <w:tcPr>
            <w:tcW w:w="957" w:type="dxa"/>
            <w:noWrap/>
            <w:hideMark/>
          </w:tcPr>
          <w:p w14:paraId="0A27BCB8" w14:textId="22AB6FB0" w:rsidR="00CC5058" w:rsidRPr="00DE07A1" w:rsidRDefault="000E6243"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w:t>
            </w:r>
            <w:r w:rsidR="00FA5A7C">
              <w:rPr>
                <w:rFonts w:eastAsia="Times New Roman" w:cs="Arial"/>
                <w:color w:val="000000"/>
                <w:sz w:val="20"/>
                <w:szCs w:val="20"/>
              </w:rPr>
              <w:t>5</w:t>
            </w:r>
          </w:p>
        </w:tc>
        <w:tc>
          <w:tcPr>
            <w:tcW w:w="5613" w:type="dxa"/>
            <w:hideMark/>
          </w:tcPr>
          <w:p w14:paraId="317F8C07" w14:textId="2CDB38E9"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Storm Interval Scale Study of Run-off for Dry Catchments with Threshold Soil Water Content</w:t>
            </w:r>
          </w:p>
        </w:tc>
      </w:tr>
      <w:tr w:rsidR="00CC5058" w:rsidRPr="00C17426" w14:paraId="5D8B41ED"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9D17696" w14:textId="698A43EB"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Morupisi, Marilyn Ogolotse</w:t>
            </w:r>
          </w:p>
        </w:tc>
        <w:tc>
          <w:tcPr>
            <w:tcW w:w="957" w:type="dxa"/>
            <w:noWrap/>
            <w:hideMark/>
          </w:tcPr>
          <w:p w14:paraId="73BF5462" w14:textId="60DB9499" w:rsidR="00CC5058" w:rsidRPr="00DE07A1" w:rsidRDefault="000E6243"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w:t>
            </w:r>
            <w:r w:rsidR="00FA5A7C">
              <w:rPr>
                <w:rFonts w:eastAsia="Times New Roman" w:cs="Arial"/>
                <w:color w:val="000000"/>
                <w:sz w:val="20"/>
                <w:szCs w:val="20"/>
              </w:rPr>
              <w:t>6</w:t>
            </w:r>
          </w:p>
        </w:tc>
        <w:tc>
          <w:tcPr>
            <w:tcW w:w="5613" w:type="dxa"/>
            <w:hideMark/>
          </w:tcPr>
          <w:p w14:paraId="0E152DD0" w14:textId="0DAEDEEE"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Experimental investigations of fluorite (CaF2) nucleation using potentiometric precipitation titrations:  Exposing a flaw in a 75-year-old theory</w:t>
            </w:r>
          </w:p>
        </w:tc>
      </w:tr>
      <w:tr w:rsidR="00CC5058" w:rsidRPr="00C17426" w14:paraId="63B82191"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26D183C" w14:textId="223BF173"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Mosesane, Mosesane Pusetso</w:t>
            </w:r>
          </w:p>
        </w:tc>
        <w:tc>
          <w:tcPr>
            <w:tcW w:w="957" w:type="dxa"/>
            <w:noWrap/>
            <w:hideMark/>
          </w:tcPr>
          <w:p w14:paraId="6E47884A" w14:textId="5F64F0F6" w:rsidR="00CC5058" w:rsidRPr="00DE07A1" w:rsidRDefault="000E6243"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w:t>
            </w:r>
            <w:r w:rsidR="00FA5A7C">
              <w:rPr>
                <w:rFonts w:eastAsia="Times New Roman" w:cs="Arial"/>
                <w:color w:val="000000"/>
                <w:sz w:val="20"/>
                <w:szCs w:val="20"/>
              </w:rPr>
              <w:t>7</w:t>
            </w:r>
          </w:p>
        </w:tc>
        <w:tc>
          <w:tcPr>
            <w:tcW w:w="5613" w:type="dxa"/>
            <w:hideMark/>
          </w:tcPr>
          <w:p w14:paraId="49447E8F" w14:textId="5ADD33B6"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Investigating the pre-nucleation and post-nucleation regions of the </w:t>
            </w:r>
            <w:proofErr w:type="spellStart"/>
            <w:r w:rsidRPr="00DE07A1">
              <w:rPr>
                <w:rFonts w:eastAsia="Times New Roman" w:cs="Arial"/>
                <w:color w:val="000000"/>
                <w:sz w:val="20"/>
                <w:szCs w:val="20"/>
              </w:rPr>
              <w:t>LaMer</w:t>
            </w:r>
            <w:proofErr w:type="spellEnd"/>
            <w:r w:rsidRPr="00DE07A1">
              <w:rPr>
                <w:rFonts w:eastAsia="Times New Roman" w:cs="Arial"/>
                <w:color w:val="000000"/>
                <w:sz w:val="20"/>
                <w:szCs w:val="20"/>
              </w:rPr>
              <w:t xml:space="preserve"> diagram using fluoride ion selective electrode potentiometric precipitation titrations</w:t>
            </w:r>
          </w:p>
        </w:tc>
      </w:tr>
      <w:tr w:rsidR="00CC5058" w:rsidRPr="00C17426" w14:paraId="7B41F006"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9ECADEA" w14:textId="215F4EEB"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Nalla, Deepthi</w:t>
            </w:r>
          </w:p>
        </w:tc>
        <w:tc>
          <w:tcPr>
            <w:tcW w:w="957" w:type="dxa"/>
            <w:noWrap/>
            <w:hideMark/>
          </w:tcPr>
          <w:p w14:paraId="77D8B59B" w14:textId="58B60E50" w:rsidR="00CC5058" w:rsidRPr="00DE07A1" w:rsidRDefault="000E6243"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w:t>
            </w:r>
            <w:r w:rsidR="00FA5A7C">
              <w:rPr>
                <w:rFonts w:eastAsia="Times New Roman" w:cs="Arial"/>
                <w:color w:val="000000"/>
                <w:sz w:val="20"/>
                <w:szCs w:val="20"/>
              </w:rPr>
              <w:t>8</w:t>
            </w:r>
          </w:p>
        </w:tc>
        <w:tc>
          <w:tcPr>
            <w:tcW w:w="5613" w:type="dxa"/>
            <w:hideMark/>
          </w:tcPr>
          <w:p w14:paraId="4FBC0613" w14:textId="5DDAB28D"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Efficacy of  combining an antifungal drug and  a selective estrogen receptor modulator in triple-negative breast cancer</w:t>
            </w:r>
          </w:p>
        </w:tc>
      </w:tr>
      <w:tr w:rsidR="00CC5058" w:rsidRPr="00C17426" w14:paraId="5174DB17"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BA21050" w14:textId="76812034"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Nam, Jinho</w:t>
            </w:r>
          </w:p>
        </w:tc>
        <w:tc>
          <w:tcPr>
            <w:tcW w:w="957" w:type="dxa"/>
            <w:noWrap/>
            <w:hideMark/>
          </w:tcPr>
          <w:p w14:paraId="0358A9C1" w14:textId="2F5374EE" w:rsidR="00CC5058" w:rsidRPr="00DE07A1" w:rsidRDefault="000E6243"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103-12</w:t>
            </w:r>
          </w:p>
        </w:tc>
        <w:tc>
          <w:tcPr>
            <w:tcW w:w="5613" w:type="dxa"/>
            <w:hideMark/>
          </w:tcPr>
          <w:p w14:paraId="7B74F8AC" w14:textId="486901F7"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Knowledge Graph as a Defense Methodology Against Poisoning Attacks</w:t>
            </w:r>
          </w:p>
        </w:tc>
      </w:tr>
      <w:tr w:rsidR="00CC5058" w:rsidRPr="00C17426" w14:paraId="197ADAF4"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B05DDE5" w14:textId="01E3A8B9"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Narayana Reddy Gari, Manasa Reddy</w:t>
            </w:r>
          </w:p>
        </w:tc>
        <w:tc>
          <w:tcPr>
            <w:tcW w:w="957" w:type="dxa"/>
            <w:noWrap/>
            <w:hideMark/>
          </w:tcPr>
          <w:p w14:paraId="7B1E5A2D" w14:textId="329C245A" w:rsidR="00CC5058" w:rsidRPr="00DE07A1" w:rsidRDefault="00FA5A7C"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89</w:t>
            </w:r>
          </w:p>
        </w:tc>
        <w:tc>
          <w:tcPr>
            <w:tcW w:w="5613" w:type="dxa"/>
            <w:hideMark/>
          </w:tcPr>
          <w:p w14:paraId="56767532" w14:textId="617C9A0A"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Checkpoint Regulation of the Cell Cycle</w:t>
            </w:r>
          </w:p>
        </w:tc>
      </w:tr>
      <w:tr w:rsidR="00CC5058" w:rsidRPr="00C17426" w14:paraId="3FE4BF1C"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92E89AD" w14:textId="7EE71491"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Narendran, Rithika</w:t>
            </w:r>
          </w:p>
        </w:tc>
        <w:tc>
          <w:tcPr>
            <w:tcW w:w="957" w:type="dxa"/>
            <w:noWrap/>
            <w:hideMark/>
          </w:tcPr>
          <w:p w14:paraId="29646CD1" w14:textId="12D64C22" w:rsidR="00CC5058" w:rsidRPr="00DE07A1" w:rsidRDefault="00FA5A7C"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90</w:t>
            </w:r>
          </w:p>
        </w:tc>
        <w:tc>
          <w:tcPr>
            <w:tcW w:w="5613" w:type="dxa"/>
            <w:hideMark/>
          </w:tcPr>
          <w:p w14:paraId="0CAF65E5" w14:textId="454D89EC"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Adaptive Cluster Selection via Supervised Optimization</w:t>
            </w:r>
          </w:p>
        </w:tc>
      </w:tr>
      <w:tr w:rsidR="00CC5058" w:rsidRPr="00C17426" w14:paraId="252E6CCD"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584627F" w14:textId="02E4DB6F"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Nazneen, Rahath</w:t>
            </w:r>
          </w:p>
        </w:tc>
        <w:tc>
          <w:tcPr>
            <w:tcW w:w="957" w:type="dxa"/>
            <w:noWrap/>
            <w:hideMark/>
          </w:tcPr>
          <w:p w14:paraId="02C38D5D" w14:textId="487F290F" w:rsidR="00CC5058" w:rsidRPr="00DE07A1" w:rsidRDefault="00D65916"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w:t>
            </w:r>
            <w:r w:rsidR="00FA5A7C">
              <w:rPr>
                <w:rFonts w:eastAsia="Times New Roman" w:cs="Arial"/>
                <w:color w:val="000000"/>
                <w:sz w:val="20"/>
                <w:szCs w:val="20"/>
              </w:rPr>
              <w:t>1</w:t>
            </w:r>
          </w:p>
        </w:tc>
        <w:tc>
          <w:tcPr>
            <w:tcW w:w="5613" w:type="dxa"/>
            <w:hideMark/>
          </w:tcPr>
          <w:p w14:paraId="2312D97E" w14:textId="710C8FEB"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WEE1 Inhibition in Ovarian Cancer: Exploiting Replication Stress for Chemotherapy</w:t>
            </w:r>
          </w:p>
        </w:tc>
      </w:tr>
      <w:tr w:rsidR="00CC5058" w:rsidRPr="00C17426" w14:paraId="65D9A134"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110BD88" w14:textId="5BEFCA34"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Neupane, Samikshya</w:t>
            </w:r>
          </w:p>
        </w:tc>
        <w:tc>
          <w:tcPr>
            <w:tcW w:w="957" w:type="dxa"/>
            <w:noWrap/>
            <w:hideMark/>
          </w:tcPr>
          <w:p w14:paraId="7A43C1B3" w14:textId="120A0730" w:rsidR="00CC5058" w:rsidRPr="00DE07A1" w:rsidRDefault="00D65916"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w:t>
            </w:r>
            <w:r w:rsidR="00FA5A7C">
              <w:rPr>
                <w:rFonts w:eastAsia="Times New Roman" w:cs="Arial"/>
                <w:color w:val="000000"/>
                <w:sz w:val="20"/>
                <w:szCs w:val="20"/>
              </w:rPr>
              <w:t>2</w:t>
            </w:r>
          </w:p>
        </w:tc>
        <w:tc>
          <w:tcPr>
            <w:tcW w:w="5613" w:type="dxa"/>
            <w:hideMark/>
          </w:tcPr>
          <w:p w14:paraId="146AF22F" w14:textId="729B40BF"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Prediction of Imminent Battery Depletion in Implantable Car-</w:t>
            </w:r>
            <w:proofErr w:type="spellStart"/>
            <w:r w:rsidRPr="00DE07A1">
              <w:rPr>
                <w:rFonts w:eastAsia="Times New Roman" w:cs="Arial"/>
                <w:color w:val="000000"/>
                <w:sz w:val="20"/>
                <w:szCs w:val="20"/>
              </w:rPr>
              <w:t>dioverter</w:t>
            </w:r>
            <w:proofErr w:type="spellEnd"/>
            <w:r w:rsidRPr="00DE07A1">
              <w:rPr>
                <w:rFonts w:eastAsia="Times New Roman" w:cs="Arial"/>
                <w:color w:val="000000"/>
                <w:sz w:val="20"/>
                <w:szCs w:val="20"/>
              </w:rPr>
              <w:t xml:space="preserve">-Defibrillator </w:t>
            </w:r>
          </w:p>
        </w:tc>
      </w:tr>
      <w:tr w:rsidR="00CC5058" w:rsidRPr="00C17426" w14:paraId="606532A6"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90A4791" w14:textId="7D66BF0A"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Nyarko, Kwaku Nti</w:t>
            </w:r>
          </w:p>
        </w:tc>
        <w:tc>
          <w:tcPr>
            <w:tcW w:w="957" w:type="dxa"/>
            <w:noWrap/>
            <w:hideMark/>
          </w:tcPr>
          <w:p w14:paraId="4A68734C" w14:textId="2E85DE9B" w:rsidR="00CC5058" w:rsidRPr="00DE07A1" w:rsidRDefault="00D65916"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w:t>
            </w:r>
            <w:r w:rsidR="00FA5A7C">
              <w:rPr>
                <w:rFonts w:eastAsia="Times New Roman" w:cs="Arial"/>
                <w:color w:val="000000"/>
                <w:sz w:val="20"/>
                <w:szCs w:val="20"/>
              </w:rPr>
              <w:t>3</w:t>
            </w:r>
          </w:p>
        </w:tc>
        <w:tc>
          <w:tcPr>
            <w:tcW w:w="5613" w:type="dxa"/>
            <w:hideMark/>
          </w:tcPr>
          <w:p w14:paraId="241BFA7C" w14:textId="64EF0076"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A comparison of </w:t>
            </w:r>
            <w:proofErr w:type="spellStart"/>
            <w:r w:rsidRPr="00DE07A1">
              <w:rPr>
                <w:rFonts w:eastAsia="Times New Roman" w:cs="Arial"/>
                <w:color w:val="000000"/>
                <w:sz w:val="20"/>
                <w:szCs w:val="20"/>
              </w:rPr>
              <w:t>AgNPs</w:t>
            </w:r>
            <w:proofErr w:type="spellEnd"/>
            <w:r w:rsidRPr="00DE07A1">
              <w:rPr>
                <w:rFonts w:eastAsia="Times New Roman" w:cs="Arial"/>
                <w:color w:val="000000"/>
                <w:sz w:val="20"/>
                <w:szCs w:val="20"/>
              </w:rPr>
              <w:t xml:space="preserve"> versus Green Synthesized </w:t>
            </w:r>
            <w:proofErr w:type="spellStart"/>
            <w:r w:rsidRPr="00DE07A1">
              <w:rPr>
                <w:rFonts w:eastAsia="Times New Roman" w:cs="Arial"/>
                <w:color w:val="000000"/>
                <w:sz w:val="20"/>
                <w:szCs w:val="20"/>
              </w:rPr>
              <w:t>AgNps</w:t>
            </w:r>
            <w:proofErr w:type="spellEnd"/>
            <w:r w:rsidRPr="00DE07A1">
              <w:rPr>
                <w:rFonts w:eastAsia="Times New Roman" w:cs="Arial"/>
                <w:color w:val="000000"/>
                <w:sz w:val="20"/>
                <w:szCs w:val="20"/>
              </w:rPr>
              <w:t xml:space="preserve"> to detect heavy metals in water</w:t>
            </w:r>
          </w:p>
        </w:tc>
      </w:tr>
      <w:tr w:rsidR="00CC5058" w:rsidRPr="00C17426" w14:paraId="7A99C4E9"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554EEB6" w14:textId="30A8F2D5"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Omkaresha, Yashoda</w:t>
            </w:r>
          </w:p>
        </w:tc>
        <w:tc>
          <w:tcPr>
            <w:tcW w:w="957" w:type="dxa"/>
            <w:noWrap/>
            <w:hideMark/>
          </w:tcPr>
          <w:p w14:paraId="46567EE1" w14:textId="4CB49D2E" w:rsidR="00CC5058" w:rsidRPr="00DE07A1" w:rsidRDefault="00D65916"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w:t>
            </w:r>
            <w:r w:rsidR="00FA5A7C">
              <w:rPr>
                <w:rFonts w:eastAsia="Times New Roman" w:cs="Arial"/>
                <w:color w:val="000000"/>
                <w:sz w:val="20"/>
                <w:szCs w:val="20"/>
              </w:rPr>
              <w:t>4</w:t>
            </w:r>
          </w:p>
        </w:tc>
        <w:tc>
          <w:tcPr>
            <w:tcW w:w="5613" w:type="dxa"/>
            <w:hideMark/>
          </w:tcPr>
          <w:p w14:paraId="7F4E5181" w14:textId="1A15497B"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Optimization of Growth Media for Proliferating Human Leukemic </w:t>
            </w:r>
            <w:proofErr w:type="spellStart"/>
            <w:r w:rsidRPr="00DE07A1">
              <w:rPr>
                <w:rFonts w:eastAsia="Times New Roman" w:cs="Arial"/>
                <w:color w:val="000000"/>
                <w:sz w:val="20"/>
                <w:szCs w:val="20"/>
              </w:rPr>
              <w:t>Jurkat</w:t>
            </w:r>
            <w:proofErr w:type="spellEnd"/>
            <w:r w:rsidRPr="00DE07A1">
              <w:rPr>
                <w:rFonts w:eastAsia="Times New Roman" w:cs="Arial"/>
                <w:color w:val="000000"/>
                <w:sz w:val="20"/>
                <w:szCs w:val="20"/>
              </w:rPr>
              <w:t xml:space="preserve"> T Lymphocytes</w:t>
            </w:r>
          </w:p>
        </w:tc>
      </w:tr>
      <w:tr w:rsidR="00CC5058" w:rsidRPr="00C17426" w14:paraId="65062790"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8241301" w14:textId="3CC1C4CD"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Panthi, Abishkar</w:t>
            </w:r>
          </w:p>
        </w:tc>
        <w:tc>
          <w:tcPr>
            <w:tcW w:w="957" w:type="dxa"/>
            <w:noWrap/>
            <w:hideMark/>
          </w:tcPr>
          <w:p w14:paraId="1AFA1104" w14:textId="14096019" w:rsidR="00CC5058" w:rsidRPr="00DE07A1" w:rsidRDefault="00D65916"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w:t>
            </w:r>
            <w:r w:rsidR="00FA5A7C">
              <w:rPr>
                <w:rFonts w:eastAsia="Times New Roman" w:cs="Arial"/>
                <w:color w:val="000000"/>
                <w:sz w:val="20"/>
                <w:szCs w:val="20"/>
              </w:rPr>
              <w:t>5</w:t>
            </w:r>
          </w:p>
        </w:tc>
        <w:tc>
          <w:tcPr>
            <w:tcW w:w="5613" w:type="dxa"/>
            <w:hideMark/>
          </w:tcPr>
          <w:p w14:paraId="066B7F7A" w14:textId="6D8FB254"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Therapeutic Potential of the Tel2–Tti1–Tti2 (TTT) Complex in treatment of Cancer </w:t>
            </w:r>
          </w:p>
        </w:tc>
      </w:tr>
      <w:tr w:rsidR="00CC5058" w:rsidRPr="00C17426" w14:paraId="77B9F56A"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8289AA7" w14:textId="298D293F"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Patel, Ashni P</w:t>
            </w:r>
          </w:p>
        </w:tc>
        <w:tc>
          <w:tcPr>
            <w:tcW w:w="957" w:type="dxa"/>
            <w:noWrap/>
            <w:hideMark/>
          </w:tcPr>
          <w:p w14:paraId="08C1BC42" w14:textId="2732F5E9" w:rsidR="00CC5058" w:rsidRPr="00DE07A1" w:rsidRDefault="00D65916"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w:t>
            </w:r>
            <w:r w:rsidR="00FA5A7C">
              <w:rPr>
                <w:rFonts w:eastAsia="Times New Roman" w:cs="Arial"/>
                <w:color w:val="000000"/>
                <w:sz w:val="20"/>
                <w:szCs w:val="20"/>
              </w:rPr>
              <w:t>6</w:t>
            </w:r>
          </w:p>
        </w:tc>
        <w:tc>
          <w:tcPr>
            <w:tcW w:w="5613" w:type="dxa"/>
            <w:hideMark/>
          </w:tcPr>
          <w:p w14:paraId="0B5FDD50" w14:textId="2F8E61C9"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Exploring the efficacy of pantoprazole-based approaches for cancer treatment</w:t>
            </w:r>
          </w:p>
        </w:tc>
      </w:tr>
      <w:tr w:rsidR="00CC5058" w:rsidRPr="00C17426" w14:paraId="1A87B2F6"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408DBEB" w14:textId="2DB36E16"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Popp, Lauren</w:t>
            </w:r>
          </w:p>
        </w:tc>
        <w:tc>
          <w:tcPr>
            <w:tcW w:w="957" w:type="dxa"/>
            <w:noWrap/>
            <w:hideMark/>
          </w:tcPr>
          <w:p w14:paraId="52E99C50" w14:textId="3ED1CD21" w:rsidR="00CC5058" w:rsidRPr="00DE07A1" w:rsidRDefault="00D65916"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w:t>
            </w:r>
            <w:r w:rsidR="00FA5A7C">
              <w:rPr>
                <w:rFonts w:eastAsia="Times New Roman" w:cs="Arial"/>
                <w:color w:val="000000"/>
                <w:sz w:val="20"/>
                <w:szCs w:val="20"/>
              </w:rPr>
              <w:t>7</w:t>
            </w:r>
          </w:p>
        </w:tc>
        <w:tc>
          <w:tcPr>
            <w:tcW w:w="5613" w:type="dxa"/>
            <w:hideMark/>
          </w:tcPr>
          <w:p w14:paraId="671E9003" w14:textId="40FBB36C"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Distribution-Based Feature Ranking for Transcriptomic Factor Identification</w:t>
            </w:r>
          </w:p>
        </w:tc>
      </w:tr>
      <w:tr w:rsidR="00CC5058" w:rsidRPr="00C17426" w14:paraId="5AA6857C"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2E9421C" w14:textId="2A5C5334"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Rawal, Riya Tushar</w:t>
            </w:r>
          </w:p>
        </w:tc>
        <w:tc>
          <w:tcPr>
            <w:tcW w:w="957" w:type="dxa"/>
            <w:noWrap/>
            <w:hideMark/>
          </w:tcPr>
          <w:p w14:paraId="299A1599" w14:textId="53A6CBD2" w:rsidR="00CC5058" w:rsidRPr="00DE07A1" w:rsidRDefault="00D65916"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w:t>
            </w:r>
            <w:r w:rsidR="00A92EA0">
              <w:rPr>
                <w:rFonts w:eastAsia="Times New Roman" w:cs="Arial"/>
                <w:color w:val="000000"/>
                <w:sz w:val="20"/>
                <w:szCs w:val="20"/>
              </w:rPr>
              <w:t>8</w:t>
            </w:r>
          </w:p>
        </w:tc>
        <w:tc>
          <w:tcPr>
            <w:tcW w:w="5613" w:type="dxa"/>
            <w:hideMark/>
          </w:tcPr>
          <w:p w14:paraId="173B57DD" w14:textId="59FE3F87"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Unmasking the Role of Polycyclic Aromatic Hydrocarbon compound in Lung Cancer</w:t>
            </w:r>
          </w:p>
        </w:tc>
      </w:tr>
      <w:tr w:rsidR="00CC5058" w:rsidRPr="00C17426" w14:paraId="652B2EAA"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15BDBD6" w14:textId="3F9AB043"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Razi, Yasmeen S</w:t>
            </w:r>
          </w:p>
        </w:tc>
        <w:tc>
          <w:tcPr>
            <w:tcW w:w="957" w:type="dxa"/>
            <w:noWrap/>
            <w:hideMark/>
          </w:tcPr>
          <w:p w14:paraId="7C0D68E5" w14:textId="6BFA177F" w:rsidR="00CC5058" w:rsidRPr="00DE07A1" w:rsidRDefault="00A92EA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99</w:t>
            </w:r>
          </w:p>
        </w:tc>
        <w:tc>
          <w:tcPr>
            <w:tcW w:w="5613" w:type="dxa"/>
            <w:hideMark/>
          </w:tcPr>
          <w:p w14:paraId="297E1653" w14:textId="4C6FDC95"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Studying the Protein Interactions of α-synuclein using a modified Yeast Two-Hybrid Approach</w:t>
            </w:r>
          </w:p>
        </w:tc>
      </w:tr>
      <w:tr w:rsidR="00CC5058" w:rsidRPr="00C17426" w14:paraId="3104EC59"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4AA18A8" w14:textId="6BD5FD0D"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Rezaei, Bahar -</w:t>
            </w:r>
          </w:p>
        </w:tc>
        <w:tc>
          <w:tcPr>
            <w:tcW w:w="957" w:type="dxa"/>
            <w:noWrap/>
            <w:hideMark/>
          </w:tcPr>
          <w:p w14:paraId="4C80CA42" w14:textId="497D7B33" w:rsidR="00CC5058" w:rsidRPr="00DE07A1" w:rsidRDefault="00D65916"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w:t>
            </w:r>
            <w:r w:rsidR="00A92EA0">
              <w:rPr>
                <w:rFonts w:eastAsia="Times New Roman" w:cs="Arial"/>
                <w:color w:val="000000"/>
                <w:sz w:val="20"/>
                <w:szCs w:val="20"/>
              </w:rPr>
              <w:t>0</w:t>
            </w:r>
          </w:p>
        </w:tc>
        <w:tc>
          <w:tcPr>
            <w:tcW w:w="5613" w:type="dxa"/>
            <w:hideMark/>
          </w:tcPr>
          <w:p w14:paraId="03DC2F08" w14:textId="0CB69A21"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Lipin-1 Gene Therapy Enhances Muscle Function and Protects Against Eccentric Contraction Injury in Duchenne muscular dystrophy Mouse Models</w:t>
            </w:r>
          </w:p>
        </w:tc>
      </w:tr>
      <w:tr w:rsidR="00CC5058" w:rsidRPr="00C17426" w14:paraId="76841A3B"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3355303" w14:textId="1C87CEB0" w:rsidR="00CC5058" w:rsidRPr="00D65916" w:rsidRDefault="00CC5058" w:rsidP="0033709C">
            <w:pPr>
              <w:rPr>
                <w:rFonts w:eastAsia="Times New Roman" w:cs="Arial"/>
                <w:b w:val="0"/>
                <w:bCs w:val="0"/>
                <w:color w:val="000000"/>
                <w:sz w:val="20"/>
                <w:szCs w:val="20"/>
              </w:rPr>
            </w:pPr>
            <w:r w:rsidRPr="00D65916">
              <w:rPr>
                <w:rFonts w:eastAsia="Times New Roman" w:cs="Arial"/>
                <w:b w:val="0"/>
                <w:bCs w:val="0"/>
                <w:color w:val="000000"/>
                <w:sz w:val="20"/>
                <w:szCs w:val="20"/>
              </w:rPr>
              <w:t>Rush, Riley H</w:t>
            </w:r>
          </w:p>
        </w:tc>
        <w:tc>
          <w:tcPr>
            <w:tcW w:w="957" w:type="dxa"/>
            <w:noWrap/>
            <w:hideMark/>
          </w:tcPr>
          <w:p w14:paraId="7FBE67F0" w14:textId="1AE5662F" w:rsidR="00CC5058" w:rsidRPr="00D65916" w:rsidRDefault="00D65916"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65916">
              <w:rPr>
                <w:rFonts w:eastAsia="Times New Roman" w:cs="Arial"/>
                <w:color w:val="000000"/>
                <w:sz w:val="20"/>
                <w:szCs w:val="20"/>
              </w:rPr>
              <w:t>10</w:t>
            </w:r>
            <w:r w:rsidR="00A92EA0">
              <w:rPr>
                <w:rFonts w:eastAsia="Times New Roman" w:cs="Arial"/>
                <w:color w:val="000000"/>
                <w:sz w:val="20"/>
                <w:szCs w:val="20"/>
              </w:rPr>
              <w:t>1</w:t>
            </w:r>
          </w:p>
        </w:tc>
        <w:tc>
          <w:tcPr>
            <w:tcW w:w="5613" w:type="dxa"/>
            <w:hideMark/>
          </w:tcPr>
          <w:p w14:paraId="46A657D3" w14:textId="20224154"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highlight w:val="red"/>
              </w:rPr>
            </w:pPr>
            <w:r w:rsidRPr="00DE07A1">
              <w:rPr>
                <w:rFonts w:eastAsia="Times New Roman" w:cs="Arial"/>
                <w:color w:val="000000"/>
                <w:sz w:val="20"/>
                <w:szCs w:val="20"/>
              </w:rPr>
              <w:t xml:space="preserve">Enhanced Detection of Arsenic with PANI and Green Synthesized Nanoparticles </w:t>
            </w:r>
          </w:p>
        </w:tc>
      </w:tr>
      <w:tr w:rsidR="00CC5058" w:rsidRPr="00C17426" w14:paraId="594BA1C6"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4EF4ECE" w14:textId="3C72DDE6"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Saini, Anmol</w:t>
            </w:r>
          </w:p>
        </w:tc>
        <w:tc>
          <w:tcPr>
            <w:tcW w:w="957" w:type="dxa"/>
            <w:noWrap/>
            <w:hideMark/>
          </w:tcPr>
          <w:p w14:paraId="2BAF1AF7" w14:textId="2DC534BF"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103-13</w:t>
            </w:r>
          </w:p>
        </w:tc>
        <w:tc>
          <w:tcPr>
            <w:tcW w:w="5613" w:type="dxa"/>
            <w:hideMark/>
          </w:tcPr>
          <w:p w14:paraId="77AA3F4F" w14:textId="244F6D09"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A Knowledge Graph-</w:t>
            </w:r>
            <w:proofErr w:type="spellStart"/>
            <w:r w:rsidRPr="00DE07A1">
              <w:rPr>
                <w:rFonts w:eastAsia="Times New Roman" w:cs="Arial"/>
                <w:color w:val="000000"/>
                <w:sz w:val="20"/>
                <w:szCs w:val="20"/>
              </w:rPr>
              <w:t>poWered</w:t>
            </w:r>
            <w:proofErr w:type="spellEnd"/>
            <w:r w:rsidRPr="00DE07A1">
              <w:rPr>
                <w:rFonts w:eastAsia="Times New Roman" w:cs="Arial"/>
                <w:color w:val="000000"/>
                <w:sz w:val="20"/>
                <w:szCs w:val="20"/>
              </w:rPr>
              <w:t xml:space="preserve"> Research Assistant for Polymer Science (KGWRAPS)</w:t>
            </w:r>
          </w:p>
        </w:tc>
      </w:tr>
      <w:tr w:rsidR="00CC5058" w:rsidRPr="00C17426" w14:paraId="045070AE"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58A0E4F" w14:textId="7E7F7AF1"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Saleem, Umair</w:t>
            </w:r>
          </w:p>
        </w:tc>
        <w:tc>
          <w:tcPr>
            <w:tcW w:w="957" w:type="dxa"/>
            <w:noWrap/>
            <w:hideMark/>
          </w:tcPr>
          <w:p w14:paraId="5C53BD52" w14:textId="1E6D70E8"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104</w:t>
            </w:r>
          </w:p>
        </w:tc>
        <w:tc>
          <w:tcPr>
            <w:tcW w:w="5613" w:type="dxa"/>
            <w:hideMark/>
          </w:tcPr>
          <w:p w14:paraId="1392DDB7" w14:textId="3BEDEB7C"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TARGETING RIBONUCLEOTIDE REDUCTASE FOR CANCER AND BACTERIAL INFECTIONS</w:t>
            </w:r>
          </w:p>
        </w:tc>
      </w:tr>
      <w:tr w:rsidR="00CC5058" w:rsidRPr="00C17426" w14:paraId="3C0B38B9"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CFF635C" w14:textId="26D8EA8E"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Sathiyalingam, Sujanthan</w:t>
            </w:r>
          </w:p>
        </w:tc>
        <w:tc>
          <w:tcPr>
            <w:tcW w:w="957" w:type="dxa"/>
            <w:noWrap/>
            <w:hideMark/>
          </w:tcPr>
          <w:p w14:paraId="0C9370FB" w14:textId="42BFDFEB"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105</w:t>
            </w:r>
          </w:p>
        </w:tc>
        <w:tc>
          <w:tcPr>
            <w:tcW w:w="5613" w:type="dxa"/>
            <w:hideMark/>
          </w:tcPr>
          <w:p w14:paraId="0F61F546" w14:textId="411C2E0C"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Helping Hand</w:t>
            </w:r>
          </w:p>
        </w:tc>
      </w:tr>
      <w:tr w:rsidR="00CC5058" w:rsidRPr="00C17426" w14:paraId="72B8F3AE"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58BF730" w14:textId="5BAADBFD"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Sattler, Douglas Robert</w:t>
            </w:r>
          </w:p>
        </w:tc>
        <w:tc>
          <w:tcPr>
            <w:tcW w:w="957" w:type="dxa"/>
            <w:noWrap/>
            <w:hideMark/>
          </w:tcPr>
          <w:p w14:paraId="3596A815" w14:textId="3558CCD0"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106</w:t>
            </w:r>
          </w:p>
        </w:tc>
        <w:tc>
          <w:tcPr>
            <w:tcW w:w="5613" w:type="dxa"/>
            <w:hideMark/>
          </w:tcPr>
          <w:p w14:paraId="6FBAF795" w14:textId="0C29EA55"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The In Vivo Failure of a Neurostimulator</w:t>
            </w:r>
          </w:p>
        </w:tc>
      </w:tr>
      <w:tr w:rsidR="00CC5058" w:rsidRPr="00C17426" w14:paraId="2C2500D3"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C695146" w14:textId="4FF04FBA"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Savin, Avital</w:t>
            </w:r>
          </w:p>
        </w:tc>
        <w:tc>
          <w:tcPr>
            <w:tcW w:w="957" w:type="dxa"/>
            <w:noWrap/>
            <w:hideMark/>
          </w:tcPr>
          <w:p w14:paraId="2F5FB609" w14:textId="4C6ED66D"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109</w:t>
            </w:r>
          </w:p>
        </w:tc>
        <w:tc>
          <w:tcPr>
            <w:tcW w:w="5613" w:type="dxa"/>
            <w:hideMark/>
          </w:tcPr>
          <w:p w14:paraId="05D73550" w14:textId="2666E6E6"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Two functional inhibitors of acid sphingomyelinase, amitriptyline and imipramine, can reduce low fluence UVB-induced erythema in rosacea patients</w:t>
            </w:r>
          </w:p>
        </w:tc>
      </w:tr>
      <w:tr w:rsidR="00CC5058" w:rsidRPr="00C17426" w14:paraId="3617A5A3"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29D726D" w14:textId="39D3F866"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lastRenderedPageBreak/>
              <w:t>Scott, Lauren Kelly</w:t>
            </w:r>
          </w:p>
        </w:tc>
        <w:tc>
          <w:tcPr>
            <w:tcW w:w="957" w:type="dxa"/>
            <w:noWrap/>
            <w:hideMark/>
          </w:tcPr>
          <w:p w14:paraId="0D3B75ED" w14:textId="352C3437"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110</w:t>
            </w:r>
          </w:p>
        </w:tc>
        <w:tc>
          <w:tcPr>
            <w:tcW w:w="5613" w:type="dxa"/>
            <w:hideMark/>
          </w:tcPr>
          <w:p w14:paraId="3D27ACA9" w14:textId="0E18FEF4"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Investigating Genetic Mechanisms of α-Synuclein Toxicity: The Role of Mitochondrial Membrane Proteins </w:t>
            </w:r>
          </w:p>
        </w:tc>
      </w:tr>
      <w:tr w:rsidR="00CC5058" w:rsidRPr="00C17426" w14:paraId="76143AF8"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43A3AAD" w14:textId="5550DA42"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Severyn, Stacie Noel</w:t>
            </w:r>
          </w:p>
        </w:tc>
        <w:tc>
          <w:tcPr>
            <w:tcW w:w="957" w:type="dxa"/>
            <w:noWrap/>
            <w:hideMark/>
          </w:tcPr>
          <w:p w14:paraId="08E9DE3C" w14:textId="7D6A1A6F"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103-14</w:t>
            </w:r>
          </w:p>
        </w:tc>
        <w:tc>
          <w:tcPr>
            <w:tcW w:w="5613" w:type="dxa"/>
            <w:hideMark/>
          </w:tcPr>
          <w:p w14:paraId="0EFF600B" w14:textId="24B9444F"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Classifying Behavioral Deviations - Including Those That May Indicate Deception</w:t>
            </w:r>
          </w:p>
        </w:tc>
      </w:tr>
      <w:tr w:rsidR="00CC5058" w:rsidRPr="00C17426" w14:paraId="7227C853"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127260C" w14:textId="724BFD30"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Sheriff, Nathan</w:t>
            </w:r>
          </w:p>
        </w:tc>
        <w:tc>
          <w:tcPr>
            <w:tcW w:w="957" w:type="dxa"/>
            <w:noWrap/>
            <w:hideMark/>
          </w:tcPr>
          <w:p w14:paraId="55EB47B1" w14:textId="6367F93D"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111</w:t>
            </w:r>
          </w:p>
        </w:tc>
        <w:tc>
          <w:tcPr>
            <w:tcW w:w="5613" w:type="dxa"/>
            <w:hideMark/>
          </w:tcPr>
          <w:p w14:paraId="3E2A2705" w14:textId="078AC17D"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Roles of </w:t>
            </w:r>
            <w:proofErr w:type="spellStart"/>
            <w:r w:rsidRPr="00DE07A1">
              <w:rPr>
                <w:rFonts w:eastAsia="Times New Roman" w:cs="Arial"/>
                <w:color w:val="000000"/>
                <w:sz w:val="20"/>
                <w:szCs w:val="20"/>
              </w:rPr>
              <w:t>Calpastatin</w:t>
            </w:r>
            <w:proofErr w:type="spellEnd"/>
            <w:r w:rsidRPr="00DE07A1">
              <w:rPr>
                <w:rFonts w:eastAsia="Times New Roman" w:cs="Arial"/>
                <w:color w:val="000000"/>
                <w:sz w:val="20"/>
                <w:szCs w:val="20"/>
              </w:rPr>
              <w:t xml:space="preserve"> in Progression of Injuries after Peripheral Nerve Compression</w:t>
            </w:r>
          </w:p>
        </w:tc>
      </w:tr>
      <w:tr w:rsidR="00CC5058" w:rsidRPr="00C17426" w14:paraId="2EFDF6C6"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B3D0C5D" w14:textId="7C732897"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Shrestha, Susan</w:t>
            </w:r>
          </w:p>
        </w:tc>
        <w:tc>
          <w:tcPr>
            <w:tcW w:w="957" w:type="dxa"/>
            <w:noWrap/>
            <w:hideMark/>
          </w:tcPr>
          <w:p w14:paraId="7010417F" w14:textId="707088B7"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103-15</w:t>
            </w:r>
          </w:p>
        </w:tc>
        <w:tc>
          <w:tcPr>
            <w:tcW w:w="5613" w:type="dxa"/>
            <w:hideMark/>
          </w:tcPr>
          <w:p w14:paraId="3AAD8CC3" w14:textId="516092A6"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Schema Aware SPARQL Generation</w:t>
            </w:r>
          </w:p>
        </w:tc>
      </w:tr>
      <w:tr w:rsidR="00CC5058" w:rsidRPr="00C17426" w14:paraId="7147089A"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FF0CCEA" w14:textId="2EDD3E2D"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Singh, Arashdeep</w:t>
            </w:r>
          </w:p>
        </w:tc>
        <w:tc>
          <w:tcPr>
            <w:tcW w:w="957" w:type="dxa"/>
            <w:noWrap/>
            <w:hideMark/>
          </w:tcPr>
          <w:p w14:paraId="33F215AF" w14:textId="0F566E97"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112</w:t>
            </w:r>
          </w:p>
        </w:tc>
        <w:tc>
          <w:tcPr>
            <w:tcW w:w="5613" w:type="dxa"/>
            <w:hideMark/>
          </w:tcPr>
          <w:p w14:paraId="6936AAE5" w14:textId="3D4F5F58"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“Design and Characterization of Inkjet-Printed Nanomaterial Inks for High-Resolution Electronic Manufacturing”</w:t>
            </w:r>
          </w:p>
        </w:tc>
      </w:tr>
      <w:tr w:rsidR="00CC5058" w:rsidRPr="00C17426" w14:paraId="10CFA206"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D21EDFC" w14:textId="700F5FFD"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Singh, Navjot</w:t>
            </w:r>
          </w:p>
        </w:tc>
        <w:tc>
          <w:tcPr>
            <w:tcW w:w="957" w:type="dxa"/>
            <w:noWrap/>
            <w:hideMark/>
          </w:tcPr>
          <w:p w14:paraId="29B3C7EC" w14:textId="0FA0E4C7"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113</w:t>
            </w:r>
          </w:p>
        </w:tc>
        <w:tc>
          <w:tcPr>
            <w:tcW w:w="5613" w:type="dxa"/>
            <w:hideMark/>
          </w:tcPr>
          <w:p w14:paraId="7109675F" w14:textId="3D817153"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Behavioral Topography in Earthworms Classically Conditioned with Vibration and Light</w:t>
            </w:r>
          </w:p>
        </w:tc>
      </w:tr>
      <w:tr w:rsidR="00CC5058" w:rsidRPr="00C17426" w14:paraId="6C433C42"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887730F" w14:textId="5AE5E6DF"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Slaughter, Mariah</w:t>
            </w:r>
          </w:p>
        </w:tc>
        <w:tc>
          <w:tcPr>
            <w:tcW w:w="957" w:type="dxa"/>
            <w:noWrap/>
            <w:hideMark/>
          </w:tcPr>
          <w:p w14:paraId="4F55C6BD" w14:textId="66FAB3B5"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114</w:t>
            </w:r>
          </w:p>
        </w:tc>
        <w:tc>
          <w:tcPr>
            <w:tcW w:w="5613" w:type="dxa"/>
            <w:hideMark/>
          </w:tcPr>
          <w:p w14:paraId="28B614A8" w14:textId="0E3E1188"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Balancing acts: quantifying tradeoffs in root C:N ratio and mycorrhizal colonization rates as a function of tree mycorrhizal association and soil nutrient availability</w:t>
            </w:r>
          </w:p>
        </w:tc>
      </w:tr>
      <w:tr w:rsidR="00CC5058" w:rsidRPr="00C17426" w14:paraId="2B8684B2"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A6B97E6" w14:textId="10F75B51"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Soni, Esha Yogeshkumar</w:t>
            </w:r>
          </w:p>
        </w:tc>
        <w:tc>
          <w:tcPr>
            <w:tcW w:w="957" w:type="dxa"/>
            <w:noWrap/>
            <w:hideMark/>
          </w:tcPr>
          <w:p w14:paraId="3CAF505C" w14:textId="450CABDB"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115</w:t>
            </w:r>
          </w:p>
        </w:tc>
        <w:tc>
          <w:tcPr>
            <w:tcW w:w="5613" w:type="dxa"/>
            <w:hideMark/>
          </w:tcPr>
          <w:p w14:paraId="2CAAB24A" w14:textId="7B2D4041"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Pharmacogenetic Role of APOE Genotyping in </w:t>
            </w:r>
            <w:proofErr w:type="spellStart"/>
            <w:r w:rsidRPr="00DE07A1">
              <w:rPr>
                <w:rFonts w:eastAsia="Times New Roman" w:cs="Arial"/>
                <w:color w:val="000000"/>
                <w:sz w:val="20"/>
                <w:szCs w:val="20"/>
              </w:rPr>
              <w:t>Lecanemab</w:t>
            </w:r>
            <w:proofErr w:type="spellEnd"/>
            <w:r w:rsidRPr="00DE07A1">
              <w:rPr>
                <w:rFonts w:eastAsia="Times New Roman" w:cs="Arial"/>
                <w:color w:val="000000"/>
                <w:sz w:val="20"/>
                <w:szCs w:val="20"/>
              </w:rPr>
              <w:t xml:space="preserve"> Therapy: Long-Term Safety and Efficacy Analysis from the Clarity AD Trial</w:t>
            </w:r>
          </w:p>
        </w:tc>
      </w:tr>
      <w:tr w:rsidR="00CC5058" w:rsidRPr="00C17426" w14:paraId="4061B840"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29D62E6" w14:textId="320783E1"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Steele, Raegan</w:t>
            </w:r>
          </w:p>
        </w:tc>
        <w:tc>
          <w:tcPr>
            <w:tcW w:w="957" w:type="dxa"/>
            <w:noWrap/>
            <w:hideMark/>
          </w:tcPr>
          <w:p w14:paraId="4AE80146" w14:textId="0F227E08"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108</w:t>
            </w:r>
          </w:p>
        </w:tc>
        <w:tc>
          <w:tcPr>
            <w:tcW w:w="5613" w:type="dxa"/>
            <w:hideMark/>
          </w:tcPr>
          <w:p w14:paraId="4185AD9A" w14:textId="746A305C"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Microscopic Worlds</w:t>
            </w:r>
          </w:p>
        </w:tc>
      </w:tr>
      <w:tr w:rsidR="00CC5058" w:rsidRPr="00C17426" w14:paraId="16E22215"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FE637C7" w14:textId="07130881"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Sunar, Sumit</w:t>
            </w:r>
          </w:p>
        </w:tc>
        <w:tc>
          <w:tcPr>
            <w:tcW w:w="957" w:type="dxa"/>
            <w:noWrap/>
            <w:hideMark/>
          </w:tcPr>
          <w:p w14:paraId="3DF6C6E7" w14:textId="3FFDB73B"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103-16</w:t>
            </w:r>
          </w:p>
        </w:tc>
        <w:tc>
          <w:tcPr>
            <w:tcW w:w="5613" w:type="dxa"/>
            <w:hideMark/>
          </w:tcPr>
          <w:p w14:paraId="3F395E44" w14:textId="49952D7A"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Controlled Language for Representing Knowledge</w:t>
            </w:r>
          </w:p>
        </w:tc>
      </w:tr>
      <w:tr w:rsidR="00CC5058" w:rsidRPr="00C17426" w14:paraId="30237EF7"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C424F20" w14:textId="0EB6A03E"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Surineela, Sai Vijay Kumar</w:t>
            </w:r>
          </w:p>
        </w:tc>
        <w:tc>
          <w:tcPr>
            <w:tcW w:w="957" w:type="dxa"/>
            <w:noWrap/>
            <w:hideMark/>
          </w:tcPr>
          <w:p w14:paraId="16E2741E" w14:textId="71318026"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116</w:t>
            </w:r>
          </w:p>
        </w:tc>
        <w:tc>
          <w:tcPr>
            <w:tcW w:w="5613" w:type="dxa"/>
            <w:hideMark/>
          </w:tcPr>
          <w:p w14:paraId="088D4F2F" w14:textId="77A93303"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Synthetic Biological Data Generation in the Low-Data Regime via Denoising Diffusion Probabilistic Models.</w:t>
            </w:r>
          </w:p>
        </w:tc>
      </w:tr>
      <w:tr w:rsidR="00CC5058" w:rsidRPr="00C17426" w14:paraId="028A54DE"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CCA88BE" w14:textId="5A3F18F9"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Taylor, Rose L</w:t>
            </w:r>
          </w:p>
        </w:tc>
        <w:tc>
          <w:tcPr>
            <w:tcW w:w="957" w:type="dxa"/>
            <w:noWrap/>
            <w:hideMark/>
          </w:tcPr>
          <w:p w14:paraId="60ECD802" w14:textId="530159EF"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103-17</w:t>
            </w:r>
          </w:p>
        </w:tc>
        <w:tc>
          <w:tcPr>
            <w:tcW w:w="5613" w:type="dxa"/>
            <w:hideMark/>
          </w:tcPr>
          <w:p w14:paraId="7927AFA5" w14:textId="49BD8D87"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Predicting Harmful Algal Bloom Likelihood with Supervised Machine Learning</w:t>
            </w:r>
          </w:p>
        </w:tc>
      </w:tr>
      <w:tr w:rsidR="00CC5058" w:rsidRPr="00C17426" w14:paraId="35904C36"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FE668CC" w14:textId="68CFCC01"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Thakur, Devang Nilesh</w:t>
            </w:r>
          </w:p>
        </w:tc>
        <w:tc>
          <w:tcPr>
            <w:tcW w:w="957" w:type="dxa"/>
            <w:noWrap/>
            <w:hideMark/>
          </w:tcPr>
          <w:p w14:paraId="154F0AAB" w14:textId="492A900A"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117</w:t>
            </w:r>
          </w:p>
        </w:tc>
        <w:tc>
          <w:tcPr>
            <w:tcW w:w="5613" w:type="dxa"/>
            <w:hideMark/>
          </w:tcPr>
          <w:p w14:paraId="14590137" w14:textId="49707BF2"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Comparison of image segmentation using voxel-level data by </w:t>
            </w:r>
            <w:proofErr w:type="spellStart"/>
            <w:r w:rsidRPr="00DE07A1">
              <w:rPr>
                <w:rFonts w:eastAsia="Times New Roman" w:cs="Arial"/>
                <w:color w:val="000000"/>
                <w:sz w:val="20"/>
                <w:szCs w:val="20"/>
              </w:rPr>
              <w:t>Matlab</w:t>
            </w:r>
            <w:proofErr w:type="spellEnd"/>
            <w:r w:rsidRPr="00DE07A1">
              <w:rPr>
                <w:rFonts w:eastAsia="Times New Roman" w:cs="Arial"/>
                <w:color w:val="000000"/>
                <w:sz w:val="20"/>
                <w:szCs w:val="20"/>
              </w:rPr>
              <w:t xml:space="preserve"> and Mimics</w:t>
            </w:r>
          </w:p>
        </w:tc>
      </w:tr>
      <w:tr w:rsidR="00CC5058" w:rsidRPr="00C17426" w14:paraId="24FF1205"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7BC8740D" w14:textId="3F047E92"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Thapa, Jeet</w:t>
            </w:r>
          </w:p>
        </w:tc>
        <w:tc>
          <w:tcPr>
            <w:tcW w:w="957" w:type="dxa"/>
            <w:noWrap/>
            <w:hideMark/>
          </w:tcPr>
          <w:p w14:paraId="54191F04" w14:textId="1D8B7191"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w:t>
            </w:r>
            <w:r w:rsidR="00C90970">
              <w:rPr>
                <w:rFonts w:eastAsia="Times New Roman" w:cs="Arial"/>
                <w:color w:val="000000"/>
                <w:sz w:val="20"/>
                <w:szCs w:val="20"/>
              </w:rPr>
              <w:t>1</w:t>
            </w:r>
            <w:r>
              <w:rPr>
                <w:rFonts w:eastAsia="Times New Roman" w:cs="Arial"/>
                <w:color w:val="000000"/>
                <w:sz w:val="20"/>
                <w:szCs w:val="20"/>
              </w:rPr>
              <w:t>8</w:t>
            </w:r>
          </w:p>
        </w:tc>
        <w:tc>
          <w:tcPr>
            <w:tcW w:w="5613" w:type="dxa"/>
            <w:hideMark/>
          </w:tcPr>
          <w:p w14:paraId="62C7C5E0" w14:textId="6BC14BBC"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Dynamic Compressive Behavior and Strain-Rate Sensitivity of SLS-Printed PA12 and PA12-GF Composites Across Multiple Orientations</w:t>
            </w:r>
          </w:p>
        </w:tc>
      </w:tr>
      <w:tr w:rsidR="00CC5058" w:rsidRPr="00C17426" w14:paraId="3F2F28FA"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8631604" w14:textId="594CE46B"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Thompson, Charles Ian</w:t>
            </w:r>
          </w:p>
        </w:tc>
        <w:tc>
          <w:tcPr>
            <w:tcW w:w="957" w:type="dxa"/>
            <w:noWrap/>
            <w:hideMark/>
          </w:tcPr>
          <w:p w14:paraId="3C508D3E" w14:textId="6F1CC19E"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119</w:t>
            </w:r>
          </w:p>
        </w:tc>
        <w:tc>
          <w:tcPr>
            <w:tcW w:w="5613" w:type="dxa"/>
            <w:hideMark/>
          </w:tcPr>
          <w:p w14:paraId="79474BAD" w14:textId="3E9716C0"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Anatomical Brain Changes in Alzheimer's Disease: A Longitudinal Morphometry Perspective</w:t>
            </w:r>
          </w:p>
        </w:tc>
      </w:tr>
      <w:tr w:rsidR="00CC5058" w:rsidRPr="00C17426" w14:paraId="60EE022E"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F43E5B3" w14:textId="41EB2DD2"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Thompson, Hannah Elyse</w:t>
            </w:r>
          </w:p>
        </w:tc>
        <w:tc>
          <w:tcPr>
            <w:tcW w:w="957" w:type="dxa"/>
            <w:noWrap/>
            <w:hideMark/>
          </w:tcPr>
          <w:p w14:paraId="3ACFC690" w14:textId="4C3BAF66"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120</w:t>
            </w:r>
          </w:p>
        </w:tc>
        <w:tc>
          <w:tcPr>
            <w:tcW w:w="5613" w:type="dxa"/>
            <w:hideMark/>
          </w:tcPr>
          <w:p w14:paraId="5001678A" w14:textId="00EC7D0C"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Paulina as Feminine Power: The Representation of Paulina in the 2025 Stratford Festival Production of The Winter’s Tale</w:t>
            </w:r>
          </w:p>
        </w:tc>
      </w:tr>
      <w:tr w:rsidR="00CC5058" w:rsidRPr="00C17426" w14:paraId="7484A2E3" w14:textId="77777777" w:rsidTr="00AB3C64">
        <w:trPr>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5D691E1" w14:textId="2AB271E2"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Timsina, Sakchhyam</w:t>
            </w:r>
          </w:p>
        </w:tc>
        <w:tc>
          <w:tcPr>
            <w:tcW w:w="957" w:type="dxa"/>
            <w:noWrap/>
            <w:hideMark/>
          </w:tcPr>
          <w:p w14:paraId="33A71F2F" w14:textId="1C125E65"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121</w:t>
            </w:r>
          </w:p>
        </w:tc>
        <w:tc>
          <w:tcPr>
            <w:tcW w:w="5613" w:type="dxa"/>
            <w:hideMark/>
          </w:tcPr>
          <w:p w14:paraId="2D641BA0" w14:textId="7AE589C9"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Utilization of Rapid Genotyping in Preventing Aminoglycoside-Induced Ototoxicity in Neonates</w:t>
            </w:r>
          </w:p>
        </w:tc>
      </w:tr>
      <w:tr w:rsidR="00CC5058" w:rsidRPr="00C17426" w14:paraId="08344DE0"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F69CF89" w14:textId="0D0EB0E4"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Togi, Chinmayee</w:t>
            </w:r>
          </w:p>
        </w:tc>
        <w:tc>
          <w:tcPr>
            <w:tcW w:w="957" w:type="dxa"/>
            <w:noWrap/>
            <w:hideMark/>
          </w:tcPr>
          <w:p w14:paraId="394B71FE" w14:textId="3A1DA331"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122</w:t>
            </w:r>
          </w:p>
        </w:tc>
        <w:tc>
          <w:tcPr>
            <w:tcW w:w="5613" w:type="dxa"/>
            <w:hideMark/>
          </w:tcPr>
          <w:p w14:paraId="1E60F218" w14:textId="58E473FF"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Investigating the axon initial segment structures in the spinal cord neurons </w:t>
            </w:r>
          </w:p>
        </w:tc>
      </w:tr>
      <w:tr w:rsidR="00CC5058" w:rsidRPr="00C17426" w14:paraId="128C8420"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99C44F8" w14:textId="5619E969"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U, Dipinkumar P</w:t>
            </w:r>
          </w:p>
        </w:tc>
        <w:tc>
          <w:tcPr>
            <w:tcW w:w="957" w:type="dxa"/>
            <w:noWrap/>
            <w:hideMark/>
          </w:tcPr>
          <w:p w14:paraId="5B0EB994" w14:textId="4680DC51"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123</w:t>
            </w:r>
          </w:p>
        </w:tc>
        <w:tc>
          <w:tcPr>
            <w:tcW w:w="5613" w:type="dxa"/>
            <w:hideMark/>
          </w:tcPr>
          <w:p w14:paraId="5EF25AA6" w14:textId="43D65551"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Platelet-Activating Factor-Receptor Pathways Modify the Cellular Responses to Repurposed Loratadine, Rupatadine and Diphenhydramine in Non-Small Cell Lung Cancer </w:t>
            </w:r>
          </w:p>
        </w:tc>
      </w:tr>
      <w:tr w:rsidR="00CC5058" w:rsidRPr="00C17426" w14:paraId="1CA8B1FC"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3B56FBB" w14:textId="12051C6C"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Vaidhyanathan, Subiksha S</w:t>
            </w:r>
          </w:p>
        </w:tc>
        <w:tc>
          <w:tcPr>
            <w:tcW w:w="957" w:type="dxa"/>
            <w:noWrap/>
            <w:hideMark/>
          </w:tcPr>
          <w:p w14:paraId="528C23F0" w14:textId="13D77FAA"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124</w:t>
            </w:r>
          </w:p>
        </w:tc>
        <w:tc>
          <w:tcPr>
            <w:tcW w:w="5613" w:type="dxa"/>
            <w:hideMark/>
          </w:tcPr>
          <w:p w14:paraId="654B8135" w14:textId="118D2381"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Flow Survey Application: Enhancing Research Data Collection Through Android Development</w:t>
            </w:r>
          </w:p>
        </w:tc>
      </w:tr>
      <w:tr w:rsidR="00CC5058" w:rsidRPr="00C17426" w14:paraId="1B963F00"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EC0E153" w14:textId="4DC82775"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Vallakati, Naresh</w:t>
            </w:r>
          </w:p>
        </w:tc>
        <w:tc>
          <w:tcPr>
            <w:tcW w:w="957" w:type="dxa"/>
            <w:noWrap/>
            <w:hideMark/>
          </w:tcPr>
          <w:p w14:paraId="1890D94A" w14:textId="1F59ECE6"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125</w:t>
            </w:r>
          </w:p>
        </w:tc>
        <w:tc>
          <w:tcPr>
            <w:tcW w:w="5613" w:type="dxa"/>
            <w:hideMark/>
          </w:tcPr>
          <w:p w14:paraId="07EC9ED6" w14:textId="6B2D91C5"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Precision Neuro-Oncology in the Era of Multi-Omics, Nano medicine, and Artificial Intelligence: A Transformative Review</w:t>
            </w:r>
          </w:p>
        </w:tc>
      </w:tr>
      <w:tr w:rsidR="00CC5058" w:rsidRPr="00C17426" w14:paraId="2A3218C7"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DFBB2DF" w14:textId="436DBE78"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Vanwagner, Holly</w:t>
            </w:r>
          </w:p>
        </w:tc>
        <w:tc>
          <w:tcPr>
            <w:tcW w:w="957" w:type="dxa"/>
            <w:noWrap/>
            <w:hideMark/>
          </w:tcPr>
          <w:p w14:paraId="6C0A06FA" w14:textId="0D0F5DA5"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126</w:t>
            </w:r>
          </w:p>
        </w:tc>
        <w:tc>
          <w:tcPr>
            <w:tcW w:w="5613" w:type="dxa"/>
            <w:hideMark/>
          </w:tcPr>
          <w:p w14:paraId="57BA894C" w14:textId="40426FCD"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Assessment of Moon Phase Conceptual Regression among Pre-Service Teachers</w:t>
            </w:r>
          </w:p>
        </w:tc>
      </w:tr>
      <w:tr w:rsidR="00CC5058" w:rsidRPr="00C17426" w14:paraId="393F478C"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EED60E9" w14:textId="408A38B2"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lastRenderedPageBreak/>
              <w:t>Wasky, Jon</w:t>
            </w:r>
          </w:p>
        </w:tc>
        <w:tc>
          <w:tcPr>
            <w:tcW w:w="957" w:type="dxa"/>
            <w:noWrap/>
            <w:hideMark/>
          </w:tcPr>
          <w:p w14:paraId="53ABA395" w14:textId="49E5B1FE"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103-18</w:t>
            </w:r>
          </w:p>
        </w:tc>
        <w:tc>
          <w:tcPr>
            <w:tcW w:w="5613" w:type="dxa"/>
            <w:hideMark/>
          </w:tcPr>
          <w:p w14:paraId="7AAF7C44" w14:textId="54A2BF07"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Physics Informed Reasoning for Carbon Nanotube Synthesis</w:t>
            </w:r>
          </w:p>
        </w:tc>
      </w:tr>
      <w:tr w:rsidR="00CC5058" w:rsidRPr="00C17426" w14:paraId="4FFA26B4"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BA88FAA" w14:textId="1D198F20"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Whorton, Amelia</w:t>
            </w:r>
          </w:p>
        </w:tc>
        <w:tc>
          <w:tcPr>
            <w:tcW w:w="957" w:type="dxa"/>
            <w:noWrap/>
            <w:hideMark/>
          </w:tcPr>
          <w:p w14:paraId="1C9C4361" w14:textId="3F65A90C"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127</w:t>
            </w:r>
          </w:p>
        </w:tc>
        <w:tc>
          <w:tcPr>
            <w:tcW w:w="5613" w:type="dxa"/>
            <w:hideMark/>
          </w:tcPr>
          <w:p w14:paraId="31D192D1" w14:textId="764865CF"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 xml:space="preserve">Measuring Cognitive Fatigue in Mentally Engaging Tasks with </w:t>
            </w:r>
            <w:proofErr w:type="spellStart"/>
            <w:r w:rsidRPr="00DE07A1">
              <w:rPr>
                <w:rFonts w:eastAsia="Times New Roman" w:cs="Arial"/>
                <w:color w:val="000000"/>
                <w:sz w:val="20"/>
                <w:szCs w:val="20"/>
              </w:rPr>
              <w:t>EngagementTracker</w:t>
            </w:r>
            <w:proofErr w:type="spellEnd"/>
          </w:p>
        </w:tc>
      </w:tr>
      <w:tr w:rsidR="00CC5058" w:rsidRPr="00C17426" w14:paraId="5D72F68B"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AABABDE" w14:textId="2F0CA17E"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Wilson, Caitlin Maire</w:t>
            </w:r>
          </w:p>
        </w:tc>
        <w:tc>
          <w:tcPr>
            <w:tcW w:w="957" w:type="dxa"/>
            <w:noWrap/>
            <w:hideMark/>
          </w:tcPr>
          <w:p w14:paraId="36ED53BE" w14:textId="6605CCE5"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128</w:t>
            </w:r>
          </w:p>
        </w:tc>
        <w:tc>
          <w:tcPr>
            <w:tcW w:w="5613" w:type="dxa"/>
            <w:hideMark/>
          </w:tcPr>
          <w:p w14:paraId="49B26FAC" w14:textId="0ECD09DB"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Futures in Chemistry</w:t>
            </w:r>
          </w:p>
        </w:tc>
      </w:tr>
      <w:tr w:rsidR="00CC5058" w:rsidRPr="00C17426" w14:paraId="23F78754" w14:textId="77777777" w:rsidTr="00AB3C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E692344" w14:textId="73A89969"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Yadav, Sonu</w:t>
            </w:r>
          </w:p>
        </w:tc>
        <w:tc>
          <w:tcPr>
            <w:tcW w:w="957" w:type="dxa"/>
            <w:noWrap/>
            <w:hideMark/>
          </w:tcPr>
          <w:p w14:paraId="427AA957" w14:textId="07B7B30E"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129</w:t>
            </w:r>
          </w:p>
        </w:tc>
        <w:tc>
          <w:tcPr>
            <w:tcW w:w="5613" w:type="dxa"/>
            <w:hideMark/>
          </w:tcPr>
          <w:p w14:paraId="76BF4CF0" w14:textId="26746457"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ROLE OF YPT1 IN MODULATING ALPHA-SYNUCLEIN TOXICITY</w:t>
            </w:r>
          </w:p>
        </w:tc>
      </w:tr>
      <w:tr w:rsidR="00CC5058" w:rsidRPr="00C17426" w14:paraId="6D196D01"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A0F69D2" w14:textId="058ACC4E"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Yerragunta, Sai Kiran</w:t>
            </w:r>
          </w:p>
        </w:tc>
        <w:tc>
          <w:tcPr>
            <w:tcW w:w="957" w:type="dxa"/>
            <w:noWrap/>
            <w:hideMark/>
          </w:tcPr>
          <w:p w14:paraId="6C5B81FE" w14:textId="24B55042"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131</w:t>
            </w:r>
          </w:p>
        </w:tc>
        <w:tc>
          <w:tcPr>
            <w:tcW w:w="5613" w:type="dxa"/>
            <w:hideMark/>
          </w:tcPr>
          <w:p w14:paraId="0D96CBE9" w14:textId="1B0AA0D0"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HEALTH EFFECTS OF CLIMATE CHANGE: NARRATIVE REVIEW OF A 20-SUBGROUPS KEYWORDS- BASED LITERATURE MAPPING</w:t>
            </w:r>
          </w:p>
        </w:tc>
      </w:tr>
      <w:tr w:rsidR="00CC5058" w:rsidRPr="00C17426" w14:paraId="7F13283B"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377A485" w14:textId="6FE65BEF"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Yerrapragada, Sri Meghana</w:t>
            </w:r>
          </w:p>
        </w:tc>
        <w:tc>
          <w:tcPr>
            <w:tcW w:w="957" w:type="dxa"/>
            <w:noWrap/>
            <w:hideMark/>
          </w:tcPr>
          <w:p w14:paraId="1FEF3E09" w14:textId="3DA49A90" w:rsidR="00CC5058" w:rsidRPr="00DE07A1" w:rsidRDefault="00D25C00"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132</w:t>
            </w:r>
          </w:p>
        </w:tc>
        <w:tc>
          <w:tcPr>
            <w:tcW w:w="5613" w:type="dxa"/>
            <w:hideMark/>
          </w:tcPr>
          <w:p w14:paraId="382BB031" w14:textId="08FCA1C4"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Elucidating the biological effects of platinum adduct-containing cell-free DNA.</w:t>
            </w:r>
          </w:p>
        </w:tc>
      </w:tr>
      <w:tr w:rsidR="00CC5058" w:rsidRPr="00C17426" w14:paraId="3F45CA0F" w14:textId="77777777" w:rsidTr="00AB3C64">
        <w:trPr>
          <w:trHeight w:val="340"/>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CFB56DF" w14:textId="66367032" w:rsidR="00CC5058" w:rsidRPr="00DE07A1" w:rsidRDefault="00CC5058" w:rsidP="0033709C">
            <w:pPr>
              <w:rPr>
                <w:rFonts w:eastAsia="Times New Roman" w:cs="Arial"/>
                <w:b w:val="0"/>
                <w:bCs w:val="0"/>
                <w:color w:val="000000"/>
                <w:sz w:val="20"/>
                <w:szCs w:val="20"/>
              </w:rPr>
            </w:pPr>
            <w:r w:rsidRPr="00DE07A1">
              <w:rPr>
                <w:rFonts w:eastAsia="Times New Roman" w:cs="Arial"/>
                <w:b w:val="0"/>
                <w:bCs w:val="0"/>
                <w:color w:val="000000"/>
                <w:sz w:val="20"/>
                <w:szCs w:val="20"/>
              </w:rPr>
              <w:t>Zare, Zahra</w:t>
            </w:r>
          </w:p>
        </w:tc>
        <w:tc>
          <w:tcPr>
            <w:tcW w:w="957" w:type="dxa"/>
            <w:noWrap/>
            <w:hideMark/>
          </w:tcPr>
          <w:p w14:paraId="71407104" w14:textId="363A477C" w:rsidR="00CC5058" w:rsidRPr="00DE07A1" w:rsidRDefault="00D25C00"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eastAsia="Times New Roman" w:cs="Arial"/>
                <w:color w:val="000000"/>
                <w:sz w:val="20"/>
                <w:szCs w:val="20"/>
              </w:rPr>
              <w:t>133</w:t>
            </w:r>
          </w:p>
        </w:tc>
        <w:tc>
          <w:tcPr>
            <w:tcW w:w="5613" w:type="dxa"/>
            <w:hideMark/>
          </w:tcPr>
          <w:p w14:paraId="503C95A5" w14:textId="78FD13E0" w:rsidR="00CC5058" w:rsidRPr="00DE07A1" w:rsidRDefault="00CC5058" w:rsidP="0033709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sidRPr="00DE07A1">
              <w:rPr>
                <w:rFonts w:eastAsia="Times New Roman" w:cs="Arial"/>
                <w:color w:val="000000"/>
                <w:sz w:val="20"/>
                <w:szCs w:val="20"/>
              </w:rPr>
              <w:t>Sustainable and Smart Urban Air Mobility: A Semi-Desirable Hub Location and Sizing Approach for Vertiport Planning</w:t>
            </w:r>
          </w:p>
        </w:tc>
      </w:tr>
      <w:tr w:rsidR="00CC5058" w:rsidRPr="00C17426" w14:paraId="6B6B2AA4" w14:textId="77777777" w:rsidTr="00AB3C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95" w:type="dxa"/>
            <w:noWrap/>
          </w:tcPr>
          <w:p w14:paraId="73658999" w14:textId="72227C29" w:rsidR="00CC5058" w:rsidRPr="00DE07A1" w:rsidRDefault="00CC5058" w:rsidP="0033709C">
            <w:pPr>
              <w:rPr>
                <w:rFonts w:eastAsia="Times New Roman" w:cs="Arial"/>
                <w:b w:val="0"/>
                <w:bCs w:val="0"/>
                <w:color w:val="000000"/>
                <w:sz w:val="20"/>
                <w:szCs w:val="20"/>
              </w:rPr>
            </w:pPr>
          </w:p>
        </w:tc>
        <w:tc>
          <w:tcPr>
            <w:tcW w:w="957" w:type="dxa"/>
            <w:noWrap/>
          </w:tcPr>
          <w:p w14:paraId="195C9EDB" w14:textId="77777777"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p>
        </w:tc>
        <w:tc>
          <w:tcPr>
            <w:tcW w:w="5613" w:type="dxa"/>
          </w:tcPr>
          <w:p w14:paraId="1146FD2C" w14:textId="7A0D7A87" w:rsidR="00CC5058" w:rsidRPr="00DE07A1" w:rsidRDefault="00CC5058" w:rsidP="0033709C">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p>
        </w:tc>
      </w:tr>
    </w:tbl>
    <w:p w14:paraId="51147340" w14:textId="77777777" w:rsidR="000421CA" w:rsidRPr="000421CA" w:rsidRDefault="000421CA" w:rsidP="000421CA"/>
    <w:p w14:paraId="7861DA23" w14:textId="2DB31A5C" w:rsidR="000421CA" w:rsidRDefault="001B5CD5" w:rsidP="00A50736">
      <w:pPr>
        <w:pStyle w:val="Heading1"/>
      </w:pPr>
      <w:r>
        <w:br w:type="page"/>
      </w:r>
      <w:r w:rsidR="000421CA">
        <w:lastRenderedPageBreak/>
        <w:t>Celebration of Research Abstracts</w:t>
      </w:r>
    </w:p>
    <w:p w14:paraId="5CFA6933" w14:textId="6F5B832E" w:rsidR="000421CA" w:rsidRDefault="00E533E4" w:rsidP="000421CA">
      <w:pPr>
        <w:spacing w:after="0"/>
      </w:pPr>
      <w:r>
        <w:rPr>
          <w:sz w:val="24"/>
        </w:rPr>
        <w:t>College of Health, Education, and Human Services</w:t>
      </w:r>
    </w:p>
    <w:p w14:paraId="33D519A6" w14:textId="40011D33" w:rsidR="000421CA" w:rsidRDefault="000421CA" w:rsidP="000421CA">
      <w:pPr>
        <w:spacing w:after="240"/>
      </w:pPr>
    </w:p>
    <w:p w14:paraId="1145C34F" w14:textId="77777777" w:rsidR="000421CA" w:rsidRDefault="000421CA" w:rsidP="000421CA">
      <w:pPr>
        <w:spacing w:after="0"/>
      </w:pPr>
      <w:r>
        <w:rPr>
          <w:sz w:val="24"/>
        </w:rPr>
        <w:t>Imagining Communities and Redefining Homeland</w:t>
      </w:r>
    </w:p>
    <w:p w14:paraId="3C62648C" w14:textId="0022E78A" w:rsidR="000421CA" w:rsidRDefault="000421CA" w:rsidP="000421CA">
      <w:pPr>
        <w:spacing w:after="0"/>
      </w:pPr>
      <w:r>
        <w:rPr>
          <w:sz w:val="24"/>
        </w:rPr>
        <w:t>Abdellatif, Badia A</w:t>
      </w:r>
    </w:p>
    <w:p w14:paraId="25B82734" w14:textId="6139C40C" w:rsidR="000421CA" w:rsidRDefault="000421CA" w:rsidP="000421CA">
      <w:pPr>
        <w:spacing w:after="240"/>
      </w:pPr>
      <w:r>
        <w:rPr>
          <w:sz w:val="24"/>
        </w:rPr>
        <w:t>Mentor: LaPerle, Carol</w:t>
      </w:r>
    </w:p>
    <w:p w14:paraId="24C4AF4A" w14:textId="77777777" w:rsidR="000421CA" w:rsidRDefault="000421CA" w:rsidP="000421CA">
      <w:pPr>
        <w:spacing w:after="480"/>
      </w:pPr>
      <w:r>
        <w:t>Imagining Communities and Redefining Homeland: How do we preserve identity and belonging even when we are physically occupied in our own land?   This project explores Mahmoud Darwish’s answer to that question, showing how Palestinian identity in exile endures through memory- both personal and collective- which resists cultural erasure by keeping stories, histories, and emotional ties alive. In Darwish’s work, poetry becomes a vital form of resistance, an imagined space where shared experience, longing, and remembrance gather into a sense of home that occupation cannot take away. Through close readings of “Identity Card,” “I Come From There,” and “To My Mother,” alongside postcolonial theory research essays of displacement and cultural survival, this project examines how memory reconstructs homeland in language, the soul, and in community.  Darwish’s poems reveal how identity can be protected and renewed through themes that echo the experiences of displaced people everywhere who hold on to who they are by remembering where- and who- they come from.</w:t>
      </w:r>
    </w:p>
    <w:p w14:paraId="2885629B" w14:textId="77777777" w:rsidR="000421CA" w:rsidRDefault="000421CA" w:rsidP="000421CA">
      <w:r>
        <w:br w:type="page"/>
      </w:r>
    </w:p>
    <w:p w14:paraId="20249B0B" w14:textId="2C5E6051" w:rsidR="000421CA" w:rsidRDefault="00441698" w:rsidP="000421CA">
      <w:pPr>
        <w:spacing w:after="0"/>
      </w:pPr>
      <w:r>
        <w:rPr>
          <w:sz w:val="24"/>
        </w:rPr>
        <w:lastRenderedPageBreak/>
        <w:t>Boonshoft School of Medicine</w:t>
      </w:r>
    </w:p>
    <w:p w14:paraId="7B69DC96" w14:textId="61D483CE" w:rsidR="000421CA" w:rsidRDefault="000421CA" w:rsidP="000421CA">
      <w:pPr>
        <w:spacing w:after="240"/>
      </w:pPr>
    </w:p>
    <w:p w14:paraId="27406EA4" w14:textId="77777777" w:rsidR="000421CA" w:rsidRDefault="000421CA" w:rsidP="000421CA">
      <w:pPr>
        <w:spacing w:after="0"/>
      </w:pPr>
      <w:r>
        <w:rPr>
          <w:sz w:val="24"/>
        </w:rPr>
        <w:t>Delineating Cellular Mechanisms Influencing Antiangiogenic-based Therapy for Lung Cancer</w:t>
      </w:r>
    </w:p>
    <w:p w14:paraId="6DE13EB3" w14:textId="066FF7FF" w:rsidR="000421CA" w:rsidRDefault="000421CA" w:rsidP="000421CA">
      <w:pPr>
        <w:spacing w:after="0"/>
      </w:pPr>
      <w:proofErr w:type="spellStart"/>
      <w:r>
        <w:rPr>
          <w:sz w:val="24"/>
        </w:rPr>
        <w:t>Addala</w:t>
      </w:r>
      <w:proofErr w:type="spellEnd"/>
      <w:r>
        <w:rPr>
          <w:sz w:val="24"/>
        </w:rPr>
        <w:t xml:space="preserve">, Anisha </w:t>
      </w:r>
      <w:proofErr w:type="spellStart"/>
      <w:r>
        <w:rPr>
          <w:sz w:val="24"/>
        </w:rPr>
        <w:t>Vidyani</w:t>
      </w:r>
      <w:proofErr w:type="spellEnd"/>
    </w:p>
    <w:p w14:paraId="752F50E9" w14:textId="1089AF4E" w:rsidR="000421CA" w:rsidRDefault="000421CA" w:rsidP="000421CA">
      <w:pPr>
        <w:spacing w:after="240"/>
      </w:pPr>
      <w:r>
        <w:rPr>
          <w:sz w:val="24"/>
        </w:rPr>
        <w:t>Mentor: S</w:t>
      </w:r>
      <w:r w:rsidR="008F5601">
        <w:rPr>
          <w:sz w:val="24"/>
        </w:rPr>
        <w:t>ahu P, Ravi</w:t>
      </w:r>
    </w:p>
    <w:p w14:paraId="333FEC76" w14:textId="77777777" w:rsidR="000421CA" w:rsidRDefault="000421CA" w:rsidP="000421CA">
      <w:pPr>
        <w:spacing w:after="480"/>
      </w:pPr>
      <w:r>
        <w:t xml:space="preserve">Introductory Statement: Angiogenesis supports tumor growth, and therapeutic agents targeting this process have demonstrated improved response rates across multiple malignancies, including lung cancer. </w:t>
      </w:r>
      <w:proofErr w:type="spellStart"/>
      <w:r>
        <w:t>Apatinib</w:t>
      </w:r>
      <w:proofErr w:type="spellEnd"/>
      <w:r>
        <w:t xml:space="preserve">, a clinically used antiangiogenic agent, inhibits vascular endothelial growth factor receptor 2 (VEGFR2), resulting in the suppression of tumor cell proliferation. However, despite initial therapeutic benefit, tumor cells frequently develop escape mechanisms through compensatory bypass pathways. Purpose: The G-protein coupled, platelet-activating factor-receptor (PAFR) pathway has been implicated as one such bypass mechanism that promotes tumor cell survival. In this study, we tested the hypothesis that inhibition of PAFR signaling can enhance the cytotoxic response to </w:t>
      </w:r>
      <w:proofErr w:type="spellStart"/>
      <w:r>
        <w:t>apatinib</w:t>
      </w:r>
      <w:proofErr w:type="spellEnd"/>
      <w:r>
        <w:t xml:space="preserve"> and </w:t>
      </w:r>
      <w:proofErr w:type="spellStart"/>
      <w:r>
        <w:t>apatinib</w:t>
      </w:r>
      <w:proofErr w:type="spellEnd"/>
      <w:r>
        <w:t xml:space="preserve">-based combination approaches using NSCLC models. Methodological Approach: Our studies employ PAFR-expressing NSCLC cell lines treated with or without </w:t>
      </w:r>
      <w:proofErr w:type="spellStart"/>
      <w:r>
        <w:t>apatinib</w:t>
      </w:r>
      <w:proofErr w:type="spellEnd"/>
      <w:r>
        <w:t xml:space="preserve">, PAFR agonist and antagonist, and epidermal growth factor receptor- tyrosine kinase inhibitors (EGFR-TKIs) such as erlotinib and gefitinib. The cell viability, cell proliferation, cell migration, cytotoxicity assays, and real-time PCR were used to </w:t>
      </w:r>
      <w:proofErr w:type="spellStart"/>
      <w:r>
        <w:t>analyse</w:t>
      </w:r>
      <w:proofErr w:type="spellEnd"/>
      <w:r>
        <w:t xml:space="preserve"> the effects of various combinations in </w:t>
      </w:r>
      <w:proofErr w:type="spellStart"/>
      <w:r>
        <w:t>apatinib</w:t>
      </w:r>
      <w:proofErr w:type="spellEnd"/>
      <w:r>
        <w:t xml:space="preserve">-based therapeutic efficacy. Findings: The studies demonstrate that </w:t>
      </w:r>
      <w:proofErr w:type="spellStart"/>
      <w:r>
        <w:t>apatinib</w:t>
      </w:r>
      <w:proofErr w:type="spellEnd"/>
      <w:r>
        <w:t xml:space="preserve"> inhibits NSCLC cell viability in a dose- and time-dependent manner, with significantly enhanced cytotoxicity observed when combined with gefitinib and erlotinib. Notably, triple combination therapy targeting EGFR, VEGFR, and PAFR produced significantly greater suppression of cell proliferation than double-agent combinations, which were mediated via inhibiting of oncogenes and anti-apoptotic genes. Furthermore, PAFR agonist-induced cell migration was reversed by </w:t>
      </w:r>
      <w:proofErr w:type="spellStart"/>
      <w:r>
        <w:t>apatinib</w:t>
      </w:r>
      <w:proofErr w:type="spellEnd"/>
      <w:r>
        <w:t xml:space="preserve">. These findings suggest that PAFR represents a potential therapeutic target to enhance the cytotoxic response of </w:t>
      </w:r>
      <w:proofErr w:type="spellStart"/>
      <w:r>
        <w:t>apatinib</w:t>
      </w:r>
      <w:proofErr w:type="spellEnd"/>
      <w:r>
        <w:t>-based approaches in NSCLC.</w:t>
      </w:r>
    </w:p>
    <w:p w14:paraId="365F4169" w14:textId="77777777" w:rsidR="000421CA" w:rsidRDefault="000421CA" w:rsidP="000421CA">
      <w:r>
        <w:br w:type="page"/>
      </w:r>
    </w:p>
    <w:p w14:paraId="7F5D2B1D" w14:textId="58C161E8" w:rsidR="000421CA" w:rsidRDefault="00B537EA" w:rsidP="000421CA">
      <w:pPr>
        <w:spacing w:after="0"/>
      </w:pPr>
      <w:r>
        <w:rPr>
          <w:sz w:val="24"/>
        </w:rPr>
        <w:lastRenderedPageBreak/>
        <w:t>College of Engineering and Computer Science</w:t>
      </w:r>
    </w:p>
    <w:p w14:paraId="5FC83249" w14:textId="517F3FCE" w:rsidR="000421CA" w:rsidRDefault="000421CA" w:rsidP="000421CA">
      <w:pPr>
        <w:spacing w:after="240"/>
      </w:pPr>
    </w:p>
    <w:p w14:paraId="1E3E151B" w14:textId="77777777" w:rsidR="000421CA" w:rsidRDefault="000421CA" w:rsidP="000421CA">
      <w:pPr>
        <w:spacing w:after="0"/>
      </w:pPr>
      <w:r>
        <w:rPr>
          <w:sz w:val="24"/>
        </w:rPr>
        <w:t>Fixed Point Analysis Across KG &amp; Word Embeddings</w:t>
      </w:r>
    </w:p>
    <w:p w14:paraId="4EBC6694" w14:textId="7EF18D8A" w:rsidR="000421CA" w:rsidRDefault="000421CA" w:rsidP="000421CA">
      <w:pPr>
        <w:spacing w:after="0"/>
      </w:pPr>
      <w:r>
        <w:rPr>
          <w:sz w:val="24"/>
        </w:rPr>
        <w:t>Adhikari, Prabhat</w:t>
      </w:r>
    </w:p>
    <w:p w14:paraId="2CB81754" w14:textId="13CFDB0D" w:rsidR="000421CA" w:rsidRDefault="000421CA" w:rsidP="000421CA">
      <w:pPr>
        <w:spacing w:after="240"/>
      </w:pPr>
      <w:r>
        <w:rPr>
          <w:sz w:val="24"/>
        </w:rPr>
        <w:t>Mentor: Shimizu, Cogan</w:t>
      </w:r>
    </w:p>
    <w:p w14:paraId="2D63CA02" w14:textId="77777777" w:rsidR="000421CA" w:rsidRDefault="000421CA" w:rsidP="000421CA">
      <w:pPr>
        <w:spacing w:after="480"/>
      </w:pPr>
      <w:r>
        <w:t xml:space="preserve">Knowledge Graphs (KGs) and Natural Language Processing (NLP) models are two widely used approaches for representing semantic knowledge. Knowledge graphs organize information in a structured format using subject–predicate–object triples, where entities are connected through explicit relationships. In contrast, NLP models learn meaning from patterns in large text corpora, capturing semantic relationships through distributional context. Although both approaches aim to represent knowledge, they rely on fundamentally different principles: one symbolic and structured, the other statistical and language-based. This raises an important research question: do these two methods preserve similar semantic meaning when represented in vector space?  This study explores the relationship between knowledge graph embeddings and word embeddings derived from text generated from the same underlying facts. First, triples from a knowledge graph are converted into natural language sentences using </w:t>
      </w:r>
      <w:proofErr w:type="spellStart"/>
      <w:r>
        <w:t>lexico</w:t>
      </w:r>
      <w:proofErr w:type="spellEnd"/>
      <w:r>
        <w:t>-syntactic patterns. This ensures that both the structured data and the textual data are grounded in the same source of information. Next, embeddings are generated from the knowledge graph using a translational embedding model, and word embeddings are learned from the corresponding text using NLP techniques. As a result, each entity obtains two separate vector representations.  The primary objective is to compare these embeddings using similarity measures such as cosine similarity to determine whether the semantic meaning of entities remains consistent across both spaces. By analyzing how closely these vectors align, the study investigates whether certain entities maintain stable cross-representational meaning. The findings aim to improve understanding of semantic alignment between structured and language-based systems and may support future work in knowledge representation, explainable AI, and hybrid symbolic neural models.</w:t>
      </w:r>
    </w:p>
    <w:p w14:paraId="6849760E" w14:textId="77777777" w:rsidR="000421CA" w:rsidRDefault="000421CA" w:rsidP="000421CA">
      <w:r>
        <w:br w:type="page"/>
      </w:r>
    </w:p>
    <w:p w14:paraId="6542F44A" w14:textId="4B1CD219" w:rsidR="000421CA" w:rsidRDefault="00441698" w:rsidP="000421CA">
      <w:pPr>
        <w:spacing w:after="0"/>
      </w:pPr>
      <w:r>
        <w:rPr>
          <w:sz w:val="24"/>
        </w:rPr>
        <w:lastRenderedPageBreak/>
        <w:t>Boonshoft School of Medicine</w:t>
      </w:r>
    </w:p>
    <w:p w14:paraId="7F2FCC58" w14:textId="35D2B19C" w:rsidR="000421CA" w:rsidRDefault="000421CA" w:rsidP="000421CA">
      <w:pPr>
        <w:spacing w:after="240"/>
      </w:pPr>
    </w:p>
    <w:p w14:paraId="67BF57EF" w14:textId="77777777" w:rsidR="000421CA" w:rsidRDefault="000421CA" w:rsidP="000421CA">
      <w:pPr>
        <w:spacing w:after="0"/>
      </w:pPr>
      <w:r>
        <w:rPr>
          <w:sz w:val="24"/>
        </w:rPr>
        <w:t>Platelet-activating factor-receptor pathway mediates solar radiation-induced extracellular vesicle release in human keratinocytes</w:t>
      </w:r>
    </w:p>
    <w:p w14:paraId="329D515A" w14:textId="180AA163" w:rsidR="000421CA" w:rsidRDefault="000421CA" w:rsidP="000421CA">
      <w:pPr>
        <w:spacing w:after="0"/>
      </w:pPr>
      <w:r>
        <w:rPr>
          <w:sz w:val="24"/>
        </w:rPr>
        <w:t>Aggarwal, Divyanshu</w:t>
      </w:r>
    </w:p>
    <w:p w14:paraId="5846C841" w14:textId="6ADE1A12" w:rsidR="000421CA" w:rsidRDefault="000421CA" w:rsidP="000421CA">
      <w:pPr>
        <w:spacing w:after="240"/>
      </w:pPr>
      <w:r>
        <w:rPr>
          <w:sz w:val="24"/>
        </w:rPr>
        <w:t>Mentor: Sahu, Ravi P.</w:t>
      </w:r>
    </w:p>
    <w:p w14:paraId="2E7D484C" w14:textId="77777777" w:rsidR="000421CA" w:rsidRDefault="000421CA" w:rsidP="000421CA">
      <w:pPr>
        <w:spacing w:after="480"/>
      </w:pPr>
      <w:r>
        <w:t xml:space="preserve">Ultraviolet (UV) radiation modulates keratinocyte biology through both cytotoxic and signaling-related mechanisms. However, the differential kinetics of UVA versus UVB in regulating extracellular vesicle (EV) release, as well as the underlying mechanisms, remain incompletely understood. In this study, we examined the effects of UVB, UVA, and solar-simulated light (SSL; emitting both UVA and UVB) on human </w:t>
      </w:r>
      <w:proofErr w:type="spellStart"/>
      <w:r>
        <w:t>HaCaT</w:t>
      </w:r>
      <w:proofErr w:type="spellEnd"/>
      <w:r>
        <w:t xml:space="preserve"> keratinocytes, with a particular focus on platelet-activating factor-receptor (PAFR) signaling. SSL and UVB induced dose- and time-dependent reductions in cell viability, whereas UVA caused minimal cytotoxicity at equivalent doses, indicating that the UVB component of SSL mediates cytotoxic responses. SSL significantly stimulated the release of large EVs (</w:t>
      </w:r>
      <w:proofErr w:type="spellStart"/>
      <w:r>
        <w:t>microvesicle</w:t>
      </w:r>
      <w:proofErr w:type="spellEnd"/>
      <w:r>
        <w:t xml:space="preserve"> particles, MVPs) at early time points and small EVs (exosomes) at later time points. Similar patterns were observed following UVB exposure but not UVA exposure. Pharmacological inhibition of PAFR significantly reduced SSL-induced release of both MVPs and exosomes. Furthermore, inhibition of acid sphingomyelinase (</w:t>
      </w:r>
      <w:proofErr w:type="spellStart"/>
      <w:r>
        <w:t>aSMase</w:t>
      </w:r>
      <w:proofErr w:type="spellEnd"/>
      <w:r>
        <w:t xml:space="preserve">) or pretreatment with the antioxidant N-acetylcysteine attenuated EV release. Collectively, these findings validate PAFR- and </w:t>
      </w:r>
      <w:proofErr w:type="spellStart"/>
      <w:r>
        <w:t>aSMase</w:t>
      </w:r>
      <w:proofErr w:type="spellEnd"/>
      <w:r>
        <w:t>-mediated signaling as key regulators of UVB-dependent keratinocyte EV release and provide mechanistic insight into how solar radiation influences intercellular communication in the skin.</w:t>
      </w:r>
    </w:p>
    <w:p w14:paraId="174B478E" w14:textId="77777777" w:rsidR="000421CA" w:rsidRDefault="000421CA" w:rsidP="000421CA">
      <w:r>
        <w:br w:type="page"/>
      </w:r>
    </w:p>
    <w:p w14:paraId="3E04D20D" w14:textId="641B19B4" w:rsidR="000421CA" w:rsidRDefault="00B537EA" w:rsidP="000421CA">
      <w:pPr>
        <w:spacing w:after="0"/>
      </w:pPr>
      <w:r>
        <w:rPr>
          <w:sz w:val="24"/>
        </w:rPr>
        <w:lastRenderedPageBreak/>
        <w:t>College of Engineering and Computer Science</w:t>
      </w:r>
    </w:p>
    <w:p w14:paraId="0FC00DF2" w14:textId="24CF9FA5" w:rsidR="000421CA" w:rsidRDefault="000421CA" w:rsidP="000421CA">
      <w:pPr>
        <w:spacing w:after="240"/>
      </w:pPr>
    </w:p>
    <w:p w14:paraId="55E3BA5B" w14:textId="77777777" w:rsidR="000421CA" w:rsidRDefault="000421CA" w:rsidP="000421CA">
      <w:pPr>
        <w:spacing w:after="0"/>
      </w:pPr>
      <w:r>
        <w:rPr>
          <w:sz w:val="24"/>
        </w:rPr>
        <w:t>Lippmann–Schwinger Approach to Electron–Phonon Binding in Solid-State Materials</w:t>
      </w:r>
    </w:p>
    <w:p w14:paraId="1C710CCD" w14:textId="26F84C32" w:rsidR="000421CA" w:rsidRDefault="000421CA" w:rsidP="000421CA">
      <w:pPr>
        <w:spacing w:after="0"/>
      </w:pPr>
      <w:proofErr w:type="spellStart"/>
      <w:r>
        <w:rPr>
          <w:sz w:val="24"/>
        </w:rPr>
        <w:t>Ahnouch</w:t>
      </w:r>
      <w:proofErr w:type="spellEnd"/>
      <w:r>
        <w:rPr>
          <w:sz w:val="24"/>
        </w:rPr>
        <w:t>, Reda</w:t>
      </w:r>
    </w:p>
    <w:p w14:paraId="3804E2D9" w14:textId="1E8FEB8A" w:rsidR="000421CA" w:rsidRDefault="000421CA" w:rsidP="000421CA">
      <w:pPr>
        <w:spacing w:after="240"/>
      </w:pPr>
      <w:r>
        <w:rPr>
          <w:sz w:val="24"/>
        </w:rPr>
        <w:t>Mentor: Huang, Hong</w:t>
      </w:r>
    </w:p>
    <w:p w14:paraId="2E7F7886" w14:textId="219E205D" w:rsidR="000421CA" w:rsidRDefault="000421CA" w:rsidP="000421CA">
      <w:pPr>
        <w:spacing w:after="480"/>
      </w:pPr>
      <w:r>
        <w:t>Electron–phonon interactions strongly influence charge transport and localization in solid-</w:t>
      </w:r>
      <w:r w:rsidR="004627D1">
        <w:t>state materials</w:t>
      </w:r>
      <w:r>
        <w:t xml:space="preserve">, yet conventional perturbative treatments quantify them only indirectly through </w:t>
      </w:r>
      <w:r w:rsidR="004627D1">
        <w:t>coupling constants</w:t>
      </w:r>
      <w:r>
        <w:t xml:space="preserve">, relaxation times, or scattering-derived energies. We present a framework based on </w:t>
      </w:r>
      <w:r w:rsidR="004627D1">
        <w:t>the homogeneous</w:t>
      </w:r>
      <w:r>
        <w:t xml:space="preserve"> Lippmann–Schwinger (LS) equation in momentum space to compute electron phonon binding energies and corresponding wavefunctions directly. The interaction is </w:t>
      </w:r>
      <w:r w:rsidR="004627D1">
        <w:t>modeled using</w:t>
      </w:r>
      <w:r>
        <w:t xml:space="preserve"> a Yukawa-type potential that depends on the screening wavevector </w:t>
      </w:r>
      <w:r w:rsidR="004627D1">
        <w:t>(Ks</w:t>
      </w:r>
      <w:r>
        <w:t xml:space="preserve">)  and  incorporates a strength parameter to account for dielectric screening across different materials. </w:t>
      </w:r>
      <w:r w:rsidR="004627D1">
        <w:t>By systematically</w:t>
      </w:r>
      <w:r>
        <w:t xml:space="preserve"> varying the effective mass and screening wavevector, we map binding </w:t>
      </w:r>
      <w:r w:rsidR="004627D1">
        <w:t>behavior from</w:t>
      </w:r>
      <w:r>
        <w:t xml:space="preserve"> oxide semiconductors (e.g., </w:t>
      </w:r>
      <w:proofErr w:type="spellStart"/>
      <w:r>
        <w:t>TiO</w:t>
      </w:r>
      <w:proofErr w:type="spellEnd"/>
      <w:r>
        <w:t xml:space="preserve">₂, small-polaron regime) to hybrid perovskites (e.g., </w:t>
      </w:r>
      <w:proofErr w:type="spellStart"/>
      <w:r>
        <w:t>MAPbI</w:t>
      </w:r>
      <w:proofErr w:type="spellEnd"/>
      <w:r>
        <w:t>₃</w:t>
      </w:r>
      <w:r w:rsidR="004627D1">
        <w:t xml:space="preserve">₃, </w:t>
      </w:r>
      <w:proofErr w:type="spellStart"/>
      <w:r w:rsidR="004627D1">
        <w:t>large</w:t>
      </w:r>
      <w:r>
        <w:t>polaron</w:t>
      </w:r>
      <w:proofErr w:type="spellEnd"/>
      <w:r>
        <w:t xml:space="preserve"> regime). The computed results confirm the formation of stable electron–</w:t>
      </w:r>
      <w:r w:rsidR="004627D1">
        <w:t>phonon bound</w:t>
      </w:r>
      <w:r>
        <w:t xml:space="preserve"> states, with binding energies in agreement with previous theoretical studies. This LS-</w:t>
      </w:r>
      <w:r w:rsidR="004627D1">
        <w:t>based approach</w:t>
      </w:r>
      <w:r>
        <w:t xml:space="preserve"> provides a direct, quantitative measure of electron–phonon coupling and can be extended  to the scattering regime through the inhomogeneous equation, there by connecting </w:t>
      </w:r>
      <w:r w:rsidR="004627D1">
        <w:t>to experimentally</w:t>
      </w:r>
      <w:r>
        <w:t xml:space="preserve"> accessible quantities such as the kink energy and coupling constant.</w:t>
      </w:r>
    </w:p>
    <w:p w14:paraId="6B3F706A" w14:textId="77777777" w:rsidR="000421CA" w:rsidRDefault="000421CA" w:rsidP="000421CA">
      <w:r>
        <w:br w:type="page"/>
      </w:r>
    </w:p>
    <w:p w14:paraId="7BC87423" w14:textId="58BF6362" w:rsidR="000421CA" w:rsidRDefault="00441698" w:rsidP="000421CA">
      <w:pPr>
        <w:spacing w:after="0"/>
      </w:pPr>
      <w:r>
        <w:rPr>
          <w:sz w:val="24"/>
        </w:rPr>
        <w:lastRenderedPageBreak/>
        <w:t>Boonshoft School of Medicine</w:t>
      </w:r>
    </w:p>
    <w:p w14:paraId="5E343853" w14:textId="21BFF2B3" w:rsidR="000421CA" w:rsidRDefault="000421CA" w:rsidP="000421CA">
      <w:pPr>
        <w:spacing w:after="240"/>
      </w:pPr>
    </w:p>
    <w:p w14:paraId="1461C031" w14:textId="77777777" w:rsidR="000421CA" w:rsidRDefault="000421CA" w:rsidP="000421CA">
      <w:pPr>
        <w:spacing w:after="0"/>
      </w:pPr>
      <w:r>
        <w:rPr>
          <w:sz w:val="24"/>
        </w:rPr>
        <w:t>Cardiorenal Consequences of Chronic Lead Exposure: Pathophysiology, Early Biomarkers, and Therapeutic Strategies</w:t>
      </w:r>
    </w:p>
    <w:p w14:paraId="0516CAD5" w14:textId="717D929A" w:rsidR="000421CA" w:rsidRDefault="000421CA" w:rsidP="000421CA">
      <w:pPr>
        <w:spacing w:after="0"/>
      </w:pPr>
      <w:r>
        <w:rPr>
          <w:sz w:val="24"/>
        </w:rPr>
        <w:t>Akhter, Rumana</w:t>
      </w:r>
    </w:p>
    <w:p w14:paraId="566FF53D" w14:textId="796E1BD2" w:rsidR="000421CA" w:rsidRDefault="000421CA" w:rsidP="000421CA">
      <w:pPr>
        <w:spacing w:after="240"/>
      </w:pPr>
      <w:r>
        <w:rPr>
          <w:sz w:val="24"/>
        </w:rPr>
        <w:t xml:space="preserve">Mentor: </w:t>
      </w:r>
      <w:proofErr w:type="spellStart"/>
      <w:r>
        <w:rPr>
          <w:sz w:val="24"/>
        </w:rPr>
        <w:t>Elased</w:t>
      </w:r>
      <w:proofErr w:type="spellEnd"/>
      <w:r>
        <w:rPr>
          <w:sz w:val="24"/>
        </w:rPr>
        <w:t>, Khalid</w:t>
      </w:r>
    </w:p>
    <w:p w14:paraId="20201747" w14:textId="77777777" w:rsidR="000421CA" w:rsidRDefault="000421CA" w:rsidP="000421CA">
      <w:pPr>
        <w:spacing w:after="480"/>
      </w:pPr>
      <w:r>
        <w:t>Background: Lead remains a widespread environmental toxicant with widespread human health impacts despite regulatory progress in many countries. Persistent exposure sources include pre-1978 housing, contaminated soil, aging water infrastructure, consumer products, and industrial emissions. Following absorption, lead distributes systemically and accumulates in bone (≈95% in adults; ≈70% in children), serving as an endogenous exposure reservoir. While neurotoxicity in children and developmental effects in pregnancy are well-established, chronic low-level lead exposure also drives significant cardiorenal pathology through mechanisms that remain underrecognized in clinical practice. Cardiorenal Pathophysiology: Exposure to lead contributes to hypertension through multiple pathways including vascular endothelial dysfunction, oxidative stress, dysregulation of the renin-angiotensin system, and altered calcium homeostasis. Concurrently, lead induces direct nephrotoxicity via tubular injury, tubulointerstitial inflammation, fibrosis, and progressive decline in glomerular filtration rate. These cardiovascular and renal effects create a self-perpetuating cardiorenal cycle, amplifying long-term disease risk even at blood lead levels (BLLs) previously considered safe. Early Detection and Biomarkers: Traditional BLL measurement may underestimate tissue burden and ongoing toxicity. Emerging biomarkers offer improved sensitivity for detecting subclinical cardiorenal injury, including tubular damage markers (NGAL, KIM-1, β2-microglobulin), oxidative stress indicators (8-OHdG), inflammatory mediators (IL-6, TNF-α), and early filtration decline markers (cystatin C). Integration of these biomarkers into screening protocols can enable early intervention in at-risk populations. Therapeutic Approaches: Management strategies include chelation therapy (EDTA, DMSA) for elevated BLLs, combined with adjunctive approaches targeting downstream pathophysiology: antioxidants (N-acetylcysteine, vitamin E) to mitigate oxidative injury, mitochondrial protectants, anti-inflammatory agents, and RAS blockade to attenuate hypertension-mediated renal damage and slow progression of chronic kidney disease. Conclusion: This presentation synthesizes current evidence on lead-induced cardiorenal injury and emphasizes the critical need for biomarker-driven early detection, targeted therapeutic interventions, and strengthened environmental policy and primary prevention strategies to protect vulnerable populations particularly children, pregnant women, and occupationally exposed workers from this persistent public health threat.</w:t>
      </w:r>
    </w:p>
    <w:p w14:paraId="0A29CAC6" w14:textId="77777777" w:rsidR="000421CA" w:rsidRDefault="000421CA" w:rsidP="000421CA">
      <w:r>
        <w:br w:type="page"/>
      </w:r>
    </w:p>
    <w:p w14:paraId="0054C874" w14:textId="73366CB1" w:rsidR="000421CA" w:rsidRDefault="00004C7D" w:rsidP="000421CA">
      <w:pPr>
        <w:spacing w:after="0"/>
      </w:pPr>
      <w:r>
        <w:rPr>
          <w:sz w:val="24"/>
        </w:rPr>
        <w:lastRenderedPageBreak/>
        <w:t>College of Science and Mathematics</w:t>
      </w:r>
    </w:p>
    <w:p w14:paraId="7D9D1140" w14:textId="1F56981C" w:rsidR="000421CA" w:rsidRDefault="000421CA" w:rsidP="000421CA">
      <w:pPr>
        <w:spacing w:after="240"/>
      </w:pPr>
    </w:p>
    <w:p w14:paraId="0DABC415" w14:textId="77777777" w:rsidR="000421CA" w:rsidRDefault="000421CA" w:rsidP="000421CA">
      <w:pPr>
        <w:spacing w:after="0"/>
      </w:pPr>
      <w:r>
        <w:rPr>
          <w:sz w:val="24"/>
        </w:rPr>
        <w:t>Environmental and Hormonal Signals Regulate Antibody Production in Human B Cells</w:t>
      </w:r>
    </w:p>
    <w:p w14:paraId="118E0876" w14:textId="68125C26" w:rsidR="000421CA" w:rsidRDefault="000421CA" w:rsidP="000421CA">
      <w:pPr>
        <w:spacing w:after="0"/>
      </w:pPr>
      <w:r>
        <w:rPr>
          <w:sz w:val="24"/>
        </w:rPr>
        <w:t>Arora, Harleen Kaur</w:t>
      </w:r>
    </w:p>
    <w:p w14:paraId="10E75E80" w14:textId="2366085B" w:rsidR="000421CA" w:rsidRDefault="000421CA" w:rsidP="000421CA">
      <w:pPr>
        <w:spacing w:after="240"/>
      </w:pPr>
      <w:r>
        <w:rPr>
          <w:sz w:val="24"/>
        </w:rPr>
        <w:t>Mentor: Sulentic, Courtney</w:t>
      </w:r>
    </w:p>
    <w:p w14:paraId="172120DB" w14:textId="77777777" w:rsidR="000421CA" w:rsidRDefault="000421CA" w:rsidP="000421CA">
      <w:pPr>
        <w:spacing w:after="480"/>
      </w:pPr>
      <w:r>
        <w:t>The human immunoglobulin heavy chain (IGH) locus is regulated by the 3’IGH regulatory region (3’IGHRR), which contains enhancer elements that control antibody isotype expression. The polymorphic hs1.2 enhancer has a ~53 bp invariant sequence (IS) varying naturally in humans. This enhancer consists of transcription factor binding sites. Enhancer activity may be altered by hormonal stressors and xenobiotics which may influence immunoglobulin expression and susceptibility to immune-related disorders. This study investigated whether the hormonal stressor cortisol and the xenobiotic β₂-adrenergic receptor agonist terbutaline alter antibody production and if hs1.2 enhancer variants modify these responses in human B cells. Human CL-01 B cells and CRISPR-Cas9–engineered hs1.2 enhancer variant clones were treated with hydrocortisone or terbutaline under stimulated and unstimulated conditions. Immunoglobulin isotype production (IgM, IgG, IgA) was measured to assess genotype-dependent responses to hormonal and xenobiotic exposure. Hydrocortisone significantly increased IgG and IgA production in unstimulated control cells, indicating enhanced antibody secretion under basal conditions. Terbutaline did not significantly alter antibody production in control cells. In contrast, hs1.2 enhancer variant clones did not exhibit increased IgG or IgA following hydrocortisone treatment but instead showed increased IgM production, demonstrating a genotype-dependent shift in isotype expression. These findings provide direct evidence that variation in the hs1.2 enhancer alters human B-cell responsiveness to hormonal stressors and xenobiotics. Ongoing studies are examining combined exposures and immunoglobulin gene transcription. This work identifies a novel gene–environment interaction that may contribute to individual differences in immune responses and susceptibility to immune-related diseases</w:t>
      </w:r>
    </w:p>
    <w:p w14:paraId="6CF6288E" w14:textId="77777777" w:rsidR="000421CA" w:rsidRDefault="000421CA" w:rsidP="000421CA">
      <w:r>
        <w:br w:type="page"/>
      </w:r>
    </w:p>
    <w:p w14:paraId="3A7EB5DD" w14:textId="642625D2" w:rsidR="000421CA" w:rsidRDefault="00441698" w:rsidP="000421CA">
      <w:pPr>
        <w:spacing w:after="0"/>
      </w:pPr>
      <w:r>
        <w:rPr>
          <w:sz w:val="24"/>
        </w:rPr>
        <w:lastRenderedPageBreak/>
        <w:t>Boonshoft School of Medicine</w:t>
      </w:r>
    </w:p>
    <w:p w14:paraId="515B962D" w14:textId="003911DD" w:rsidR="000421CA" w:rsidRDefault="000421CA" w:rsidP="000421CA">
      <w:pPr>
        <w:spacing w:after="240"/>
      </w:pPr>
    </w:p>
    <w:p w14:paraId="419D1E47" w14:textId="77777777" w:rsidR="000421CA" w:rsidRDefault="000421CA" w:rsidP="000421CA">
      <w:pPr>
        <w:spacing w:after="0"/>
      </w:pPr>
      <w:r>
        <w:rPr>
          <w:sz w:val="24"/>
        </w:rPr>
        <w:t>Artificial Intelligence in Pharmacological Cancer Diagnosis: Imaging, Pathology, and Biomarker-Driven Therapy Selection</w:t>
      </w:r>
    </w:p>
    <w:p w14:paraId="439F7324" w14:textId="05119F99" w:rsidR="000421CA" w:rsidRDefault="000421CA" w:rsidP="000421CA">
      <w:pPr>
        <w:spacing w:after="0"/>
      </w:pPr>
      <w:r>
        <w:rPr>
          <w:sz w:val="24"/>
        </w:rPr>
        <w:t>Azhagappan, Santhosh</w:t>
      </w:r>
    </w:p>
    <w:p w14:paraId="571114C0" w14:textId="10246842" w:rsidR="000421CA" w:rsidRDefault="000421CA" w:rsidP="000421CA">
      <w:pPr>
        <w:spacing w:after="240"/>
      </w:pPr>
      <w:r>
        <w:rPr>
          <w:sz w:val="24"/>
        </w:rPr>
        <w:t>Mentor: Oroszi, Terry</w:t>
      </w:r>
    </w:p>
    <w:p w14:paraId="45560070" w14:textId="77777777" w:rsidR="000421CA" w:rsidRDefault="000421CA" w:rsidP="000421CA">
      <w:pPr>
        <w:spacing w:after="480"/>
      </w:pPr>
      <w:r>
        <w:t>Artificial Intelligence in Pharmacological Cancer Diagnosis: Imaging, Pathology, and Biomarker-Driven Therapy Selection  Abstract  Artificial intelligence (AI) is rapidly transforming cancer diagnostics by enabling the integration of imaging, pathology, and molecular biomarkers to guide pharmacological therapy selection. With the global cancer burden continuing to rise, there is a growing need for precise, non-invasive diagnostic approaches that support personalized treatment strategies, particularly for immunotherapies and targeted agents. This narrative review synthesizes recent literature (2019–2025) on AI-driven cancer diagnostics with a focus on pharmacological decision-making, including biomarker prediction for programmed death-1/programmed death-ligand 1 (PD-1/PD-L1) inhibitors and apoptosis-targeting drugs such as Mcl-1 inhibitors. A comprehensive review of peer-reviewed studies was conducted using major biomedical databases, emphasizing AI applications in radiomics, digital pathology, and multi-omics integration. Current evidence demonstrates that AI models can predict clinically relevant biomarkers such as PD-L1 expression, microsatellite instability, tumor mutational burden, and Bcl-2 family alterations with high accuracy, thereby supporting therapy selection in urinary tract tumors and colorectal cancer. AI-assisted imaging and pathology tools reduce diagnostic delays, minimize invasive procedures, and improve patient stratification for targeted and immunotherapies. Despite these advances, significant challenges remain, including algorithmic bias, limited representation of non-Western populations, regulatory constraints, and lack of external validation. Future directions include federated learning, explainable AI, and global data-sharing initiatives to promote equitable and clinically robust AI-enabled diagnostics. Overall, AI-driven pharmacological diagnosis represents a critical step toward globally optimized precision oncology.  Keywords: Artificial intelligence; Precision oncology; Radiomics; Digital pathology; PD-L1; Mcl-1; multi-omics.</w:t>
      </w:r>
    </w:p>
    <w:p w14:paraId="0F5B97BD" w14:textId="77777777" w:rsidR="000421CA" w:rsidRDefault="000421CA" w:rsidP="000421CA">
      <w:r>
        <w:br w:type="page"/>
      </w:r>
    </w:p>
    <w:p w14:paraId="47D8F956" w14:textId="78502FFB" w:rsidR="000421CA" w:rsidRDefault="00441698" w:rsidP="000421CA">
      <w:pPr>
        <w:spacing w:after="0"/>
      </w:pPr>
      <w:r>
        <w:rPr>
          <w:sz w:val="24"/>
        </w:rPr>
        <w:lastRenderedPageBreak/>
        <w:t>Boonshoft School of Medicine</w:t>
      </w:r>
    </w:p>
    <w:p w14:paraId="2848C30A" w14:textId="1CB45A86" w:rsidR="000421CA" w:rsidRDefault="000421CA" w:rsidP="000421CA">
      <w:pPr>
        <w:spacing w:after="240"/>
      </w:pPr>
    </w:p>
    <w:p w14:paraId="0A6F2AC8" w14:textId="77777777" w:rsidR="000421CA" w:rsidRDefault="000421CA" w:rsidP="000421CA">
      <w:pPr>
        <w:spacing w:after="0"/>
      </w:pPr>
      <w:r>
        <w:rPr>
          <w:sz w:val="24"/>
        </w:rPr>
        <w:t>Risk factors, Co-morbidities, and the need for rigorous stratification in Pregnancy associated disorders</w:t>
      </w:r>
    </w:p>
    <w:p w14:paraId="65C8ED75" w14:textId="1C69FED5" w:rsidR="000421CA" w:rsidRDefault="000421CA" w:rsidP="000421CA">
      <w:pPr>
        <w:spacing w:after="0"/>
      </w:pPr>
      <w:r>
        <w:rPr>
          <w:sz w:val="24"/>
        </w:rPr>
        <w:t>Bacon, Isabella</w:t>
      </w:r>
    </w:p>
    <w:p w14:paraId="684A812F" w14:textId="2961E9BA" w:rsidR="000421CA" w:rsidRDefault="000421CA" w:rsidP="000421CA">
      <w:pPr>
        <w:spacing w:after="240"/>
      </w:pPr>
      <w:r>
        <w:rPr>
          <w:sz w:val="24"/>
        </w:rPr>
        <w:t>Mentor: Brown, Thomas</w:t>
      </w:r>
    </w:p>
    <w:p w14:paraId="0D4AE68E" w14:textId="77777777" w:rsidR="000421CA" w:rsidRDefault="000421CA" w:rsidP="000421CA">
      <w:pPr>
        <w:spacing w:after="480"/>
      </w:pPr>
      <w:r>
        <w:t>Research in pregnancy-associated disorders, including preeclampsia, has been historically difficult to draw conclusions from due to the heterogeneity of study groups. Although clinical definitions of early- versus late-onset and mild versus severe preeclampsia exist, many studies have not distinguished between these groups when investigating the biology of preeclampsia. Instead, preeclampsia has largely been viewed as a single, homogenous population, leading to conflicting findings or insignificant results. In this study we examine specific risk factors and comorbidities in each of these distinct subgroups to further indicate the need for more rigorous stratification of preeclampsia in future research.</w:t>
      </w:r>
    </w:p>
    <w:p w14:paraId="0D7BA071" w14:textId="77777777" w:rsidR="000421CA" w:rsidRDefault="000421CA" w:rsidP="000421CA">
      <w:r>
        <w:br w:type="page"/>
      </w:r>
    </w:p>
    <w:p w14:paraId="5AC6D422" w14:textId="0ABD444F" w:rsidR="000421CA" w:rsidRDefault="00004C7D" w:rsidP="000421CA">
      <w:pPr>
        <w:spacing w:after="0"/>
      </w:pPr>
      <w:r>
        <w:rPr>
          <w:sz w:val="24"/>
        </w:rPr>
        <w:lastRenderedPageBreak/>
        <w:t>College of Science and Mathematics</w:t>
      </w:r>
    </w:p>
    <w:p w14:paraId="59DD282D" w14:textId="05B46428" w:rsidR="000421CA" w:rsidRDefault="000421CA" w:rsidP="000421CA">
      <w:pPr>
        <w:spacing w:after="240"/>
      </w:pPr>
    </w:p>
    <w:p w14:paraId="145B1FE4" w14:textId="77777777" w:rsidR="000421CA" w:rsidRDefault="000421CA" w:rsidP="000421CA">
      <w:pPr>
        <w:spacing w:after="0"/>
      </w:pPr>
      <w:r>
        <w:rPr>
          <w:sz w:val="24"/>
        </w:rPr>
        <w:t>Determining how reduced complex/hybrid N-glycosylation modulates B1-adrenergic signaling and accelerates the progression of heart failure</w:t>
      </w:r>
    </w:p>
    <w:p w14:paraId="06E323A1" w14:textId="28C99393" w:rsidR="000421CA" w:rsidRDefault="000421CA" w:rsidP="000421CA">
      <w:pPr>
        <w:spacing w:after="0"/>
      </w:pPr>
      <w:r>
        <w:rPr>
          <w:sz w:val="24"/>
        </w:rPr>
        <w:t>Bailey, Rhett Joseph</w:t>
      </w:r>
    </w:p>
    <w:p w14:paraId="52DA9AFF" w14:textId="582F240D" w:rsidR="000421CA" w:rsidRDefault="000421CA" w:rsidP="000421CA">
      <w:pPr>
        <w:spacing w:after="240"/>
      </w:pPr>
      <w:r>
        <w:rPr>
          <w:sz w:val="24"/>
        </w:rPr>
        <w:t>Mentor: Bennett, Eric</w:t>
      </w:r>
    </w:p>
    <w:p w14:paraId="27791BBA" w14:textId="77777777" w:rsidR="000421CA" w:rsidRDefault="000421CA" w:rsidP="000421CA">
      <w:pPr>
        <w:spacing w:after="480"/>
      </w:pPr>
      <w:r>
        <w:t>Heart failure (HF) remains a substantial global health burden, affecting approximately 64 million people worldwide. Altered protein N-glycosylation, associated with aging and cardiovascular disease in humans, may contribute to progressive cardiac dysfunction; however, the mechanisms linking disrupted glycosylation to heart failure progression remain unclear. The glycosyltransferase N-acetylglucosaminyltransferase I (GlcNAcT1), encoded by Mgat1, initiates the production of hybrid/complex N-glycans. We previously found that cardiomyocyte-specific constitutive deletion of Mgat1 in mice resulted in heart failure with reduced ejection fraction (</w:t>
      </w:r>
      <w:proofErr w:type="spellStart"/>
      <w:r>
        <w:t>HFrEF</w:t>
      </w:r>
      <w:proofErr w:type="spellEnd"/>
      <w:r>
        <w:t xml:space="preserve">), increased fibrosis, and altered ion channel function at the cellular level. To study the effects in adult mice, we created an inducible knockout model (iMgat1KO). Despite preserved baseline action potentials, calcium handling, and contractility in isolated cardiomyocytes, iMgat1KO mice still developed </w:t>
      </w:r>
      <w:proofErr w:type="spellStart"/>
      <w:r>
        <w:t>HFrEF</w:t>
      </w:r>
      <w:proofErr w:type="spellEnd"/>
      <w:r>
        <w:t>, suggesting whole-heart dysfunction may emerge primarily under physiological stress.  Chronic sympathetic activation of β1-adrenergic receptors (β1-ARs) is a central driver of HF progression. Since β1-ARs are glycosylated membrane proteins essential for regulating cardiac contractility and electrical stability during sympathetic stimulation, we investigated whether loss of complex/hybrid N-glycosylation impairs β1-AR activity during chronic adrenergic stimulation. Although initially adaptive, this chronic altered signaling may become maladaptive, accelerating cardiac dysfunction and electrical instability.  To test this, we measured calcium and contractility responses to isoproterenol (a nonselective β agonist) in isolated cardiomyocytes from iMgat1KO and control mice under untreated conditions or after chronic β1-AR activation. Naive iMgat1KO cardiomyocytes treated with acute isoproterenol exhibited amplified intracellular calcium release and contractility relative to the expected increase in controls. In contrast, following chronic β1-AR activation, iMgat1KO cardiomyocytes displayed a markedly less robust increase in calcium and contractility compared to the naively treated iMgat1KO cells. This data suggests that although loss of complex/hybrid N-glycosylation initially heightens β1-AR sensitivity, it ultimately leads to desensitization, possibly contributing to maladaptive signaling that disrupts calcium regulation and impairs contractility.</w:t>
      </w:r>
    </w:p>
    <w:p w14:paraId="6C298868" w14:textId="77777777" w:rsidR="000421CA" w:rsidRDefault="000421CA" w:rsidP="000421CA">
      <w:r>
        <w:br w:type="page"/>
      </w:r>
    </w:p>
    <w:p w14:paraId="1062F5D2" w14:textId="250AE08E" w:rsidR="000421CA" w:rsidRDefault="00B537EA" w:rsidP="000421CA">
      <w:pPr>
        <w:spacing w:after="0"/>
      </w:pPr>
      <w:r>
        <w:rPr>
          <w:sz w:val="24"/>
        </w:rPr>
        <w:lastRenderedPageBreak/>
        <w:t>College of Engineering and Computer Science</w:t>
      </w:r>
    </w:p>
    <w:p w14:paraId="4019EDA7" w14:textId="37AB251B" w:rsidR="000421CA" w:rsidRDefault="000421CA" w:rsidP="000421CA">
      <w:pPr>
        <w:spacing w:after="240"/>
      </w:pPr>
    </w:p>
    <w:p w14:paraId="3DBEEB6C" w14:textId="77777777" w:rsidR="000421CA" w:rsidRDefault="000421CA" w:rsidP="000421CA">
      <w:pPr>
        <w:spacing w:after="0"/>
      </w:pPr>
      <w:r>
        <w:rPr>
          <w:sz w:val="24"/>
        </w:rPr>
        <w:t>Exploration of Data Science and Machine Learning Techniques for Wildfire Prediction</w:t>
      </w:r>
    </w:p>
    <w:p w14:paraId="605A5A36" w14:textId="43658391" w:rsidR="000421CA" w:rsidRDefault="000421CA" w:rsidP="000421CA">
      <w:pPr>
        <w:spacing w:after="0"/>
      </w:pPr>
      <w:r>
        <w:rPr>
          <w:sz w:val="24"/>
        </w:rPr>
        <w:t>Ballentine, Rachael</w:t>
      </w:r>
    </w:p>
    <w:p w14:paraId="0543AA81" w14:textId="28751CC1" w:rsidR="000421CA" w:rsidRDefault="000421CA" w:rsidP="000421CA">
      <w:pPr>
        <w:spacing w:after="240"/>
      </w:pPr>
      <w:r>
        <w:rPr>
          <w:sz w:val="24"/>
        </w:rPr>
        <w:t>Mentor: Raymer, Michael</w:t>
      </w:r>
    </w:p>
    <w:p w14:paraId="0FF0C506" w14:textId="77777777" w:rsidR="000421CA" w:rsidRDefault="000421CA" w:rsidP="000421CA">
      <w:pPr>
        <w:spacing w:after="480"/>
      </w:pPr>
      <w:r>
        <w:t>Wildfires are defined as unplanned and uncontrolled fires that occur in areas with combustible materials. According to the National Interagency Fire Center, there were over 50,000 wildfires across the US in 2023 alone, affecting almost 3 million acres of land. Ignition and spread of these fires depend on a number of factors, including seasonal weather conditions, available fuel, topography, and proximity to populated areas. Prediction and management of wildfires is a complex but critical problem, as the wildfire crisis continues to develop in conjunction with the rise of global temperature and greenhouse emissions. In this project, data science and machine learning techniques will be applied to a prediction problem in this field. A range of methods will be applied to an identified data set, from exploratory data analysis and interpretive techniques to more complex approaches like neural networks.</w:t>
      </w:r>
    </w:p>
    <w:p w14:paraId="22C32676" w14:textId="77777777" w:rsidR="000421CA" w:rsidRDefault="000421CA" w:rsidP="000421CA">
      <w:r>
        <w:br w:type="page"/>
      </w:r>
    </w:p>
    <w:p w14:paraId="33A747F2" w14:textId="37CE363C" w:rsidR="000421CA" w:rsidRDefault="00441698" w:rsidP="000421CA">
      <w:pPr>
        <w:spacing w:after="0"/>
      </w:pPr>
      <w:r>
        <w:rPr>
          <w:sz w:val="24"/>
        </w:rPr>
        <w:lastRenderedPageBreak/>
        <w:t>Boonshoft School of Medicine</w:t>
      </w:r>
    </w:p>
    <w:p w14:paraId="4D16C587" w14:textId="6B122A9C" w:rsidR="000421CA" w:rsidRDefault="000421CA" w:rsidP="000421CA">
      <w:pPr>
        <w:spacing w:after="240"/>
      </w:pPr>
    </w:p>
    <w:p w14:paraId="7DA49D30" w14:textId="77777777" w:rsidR="000421CA" w:rsidRDefault="000421CA" w:rsidP="000421CA">
      <w:pPr>
        <w:spacing w:after="0"/>
      </w:pPr>
      <w:r>
        <w:rPr>
          <w:sz w:val="24"/>
        </w:rPr>
        <w:t>Dietary Safflower Oil and Cardiometabolic Health: Molecular Mechanisms and Clinical Implications</w:t>
      </w:r>
    </w:p>
    <w:p w14:paraId="2F2F2FC7" w14:textId="66F249EE" w:rsidR="000421CA" w:rsidRDefault="000421CA" w:rsidP="000421CA">
      <w:pPr>
        <w:spacing w:after="0"/>
      </w:pPr>
      <w:proofErr w:type="spellStart"/>
      <w:r>
        <w:rPr>
          <w:sz w:val="24"/>
        </w:rPr>
        <w:t>Bathini</w:t>
      </w:r>
      <w:proofErr w:type="spellEnd"/>
      <w:r>
        <w:rPr>
          <w:sz w:val="24"/>
        </w:rPr>
        <w:t>, Uday Kiran Bathini</w:t>
      </w:r>
    </w:p>
    <w:p w14:paraId="4048AA01" w14:textId="780B19C8" w:rsidR="000421CA" w:rsidRDefault="000421CA" w:rsidP="000421CA">
      <w:pPr>
        <w:spacing w:after="240"/>
      </w:pPr>
      <w:r>
        <w:rPr>
          <w:sz w:val="24"/>
        </w:rPr>
        <w:t>Mentor: Oroszi, Terry L</w:t>
      </w:r>
    </w:p>
    <w:p w14:paraId="3EAEB17E" w14:textId="77777777" w:rsidR="000421CA" w:rsidRDefault="000421CA" w:rsidP="000421CA">
      <w:pPr>
        <w:spacing w:after="480"/>
      </w:pPr>
      <w:r>
        <w:t>Dietary Safflower Oil and Cardiometabolic Health: Molecular Mechanisms and Clinical Implications Uday Kiran Bathini, MS Pharmacology and Toxicology, BSOM, Wright State University, Fairborn, Ohio, USA Abstract Metabolic syndrome is characterized by a complex combination of metabolic dysregulations including obesity, dyslipidemia, hypertension, insulin resistance and systemic inflammation; and are major risk factors of type 2 diabetes mellitus and cardiovascular disease. The composition of dietary lipids is important in intervention strategies for metabolic syndrome. Safflower (Carthamus tinctorius L.) oil with well-balanced linoleic acid content in combination with bioactive flavonoids is increasingly studied for their cardiometabolic health benefits.  This critical review summarizes the biochemical, mechanistic and human clinical studies examining the potential cardiometabolic health benefits of safflower oil. Pertinent clinical trials and mechanistic studies in animals and cell models were identified by a systematic search of PubMed, Scopus and Web of Science. The results were summarized and grouped into lipid metabolic health, glucose metabolic health, anti-inflammatory and anti-oxidative mechanisms. The beneficial and conflicting findings were analyzed and discussed according to compositional and experimental differences of safflower oil.  Safflower oil has shown potential in decreasing serum triglyceride and LDL cholesterol, as well as addressing hepatic lipid dysmetabolism. The mechanistic evidence shows its potential via the modulation of the AKT/FoxO1 pathway in liver to generally reduce hepatic gluconeogenesis; and the bioactive flavonoids in safflower to blunt NF-kB pathway and enhance Nrf2 pathway for anti-inflammation and anti-oxidation. Additional emerging cardiometabolic health benefits are hypothesized via the effect of safflower oil on mitochondrial cardiolipin remodeling and gut microbiota mediators. Future long-term clinical trials are needed for clinical recommendations.  Keywords Safflower oil; Linoleic acid; Metabolic syndrome; Insulin resistance; Inflammation; Gut microbiota</w:t>
      </w:r>
    </w:p>
    <w:p w14:paraId="4EDC1367" w14:textId="77777777" w:rsidR="000421CA" w:rsidRDefault="000421CA" w:rsidP="000421CA">
      <w:r>
        <w:br w:type="page"/>
      </w:r>
    </w:p>
    <w:p w14:paraId="6BE12E15" w14:textId="7C3CC20B" w:rsidR="000421CA" w:rsidRDefault="00004C7D" w:rsidP="000421CA">
      <w:pPr>
        <w:spacing w:after="0"/>
      </w:pPr>
      <w:r>
        <w:rPr>
          <w:sz w:val="24"/>
        </w:rPr>
        <w:lastRenderedPageBreak/>
        <w:t>College of Science and Mathematics</w:t>
      </w:r>
    </w:p>
    <w:p w14:paraId="17882BF1" w14:textId="3F5F14DF" w:rsidR="000421CA" w:rsidRDefault="000421CA" w:rsidP="000421CA">
      <w:pPr>
        <w:spacing w:after="240"/>
      </w:pPr>
    </w:p>
    <w:p w14:paraId="5E0A86E1" w14:textId="77777777" w:rsidR="000421CA" w:rsidRDefault="000421CA" w:rsidP="000421CA">
      <w:pPr>
        <w:spacing w:after="0"/>
      </w:pPr>
      <w:r>
        <w:rPr>
          <w:sz w:val="24"/>
        </w:rPr>
        <w:t xml:space="preserve">Thermal Burn injury induced </w:t>
      </w:r>
      <w:proofErr w:type="spellStart"/>
      <w:r>
        <w:rPr>
          <w:sz w:val="24"/>
        </w:rPr>
        <w:t>microvesicle</w:t>
      </w:r>
      <w:proofErr w:type="spellEnd"/>
      <w:r>
        <w:rPr>
          <w:sz w:val="24"/>
        </w:rPr>
        <w:t xml:space="preserve"> particles drive PAFR-dependent bacterial translocation and multi-organ injury amplified by aging.</w:t>
      </w:r>
    </w:p>
    <w:p w14:paraId="54E546C5" w14:textId="74A61E7D" w:rsidR="000421CA" w:rsidRDefault="000421CA" w:rsidP="000421CA">
      <w:pPr>
        <w:spacing w:after="0"/>
      </w:pPr>
      <w:r>
        <w:rPr>
          <w:sz w:val="24"/>
        </w:rPr>
        <w:t xml:space="preserve">Bhandari, </w:t>
      </w:r>
      <w:proofErr w:type="spellStart"/>
      <w:r>
        <w:rPr>
          <w:sz w:val="24"/>
        </w:rPr>
        <w:t>Suvechha</w:t>
      </w:r>
      <w:proofErr w:type="spellEnd"/>
    </w:p>
    <w:p w14:paraId="7AD8D605" w14:textId="23ECA13D" w:rsidR="000421CA" w:rsidRDefault="000421CA" w:rsidP="000421CA">
      <w:pPr>
        <w:spacing w:after="240"/>
      </w:pPr>
      <w:r>
        <w:rPr>
          <w:sz w:val="24"/>
        </w:rPr>
        <w:t>Mentor: Travers, Jeffrey Bryant Travers</w:t>
      </w:r>
    </w:p>
    <w:p w14:paraId="6B977194" w14:textId="77777777" w:rsidR="000421CA" w:rsidRDefault="000421CA" w:rsidP="000421CA">
      <w:pPr>
        <w:spacing w:after="480"/>
      </w:pPr>
      <w:r>
        <w:t>Thermal burn injury (TBI) causes systemic inflammation progressing to shock, sepsis, organ failure and death. Severity is positively correlated with increasing total body surface area (TBSA). The objective of the study was to examine how different grades (12.5%,25%, and 37.5%) of TBSA burns could trigger systemic effects, potentially activating platelet-activating factor (PAF)-</w:t>
      </w:r>
      <w:proofErr w:type="spellStart"/>
      <w:r>
        <w:t>microvesicle</w:t>
      </w:r>
      <w:proofErr w:type="spellEnd"/>
      <w:r>
        <w:t xml:space="preserve"> particles (MVPs) signaling. The Young C57BL/6 mice were subjected to graded TBSA TBI. We hypothesize that increased TBSA TBI elevates MVP release and PAF-mediated inflammation, parallel to mechanisms seen in intoxicated thermal burns. We measured MVPs (local skin, circulating blood plasma) together with assessment of bacterial translocation(BT), systemic cytokines and organ injury at the early (2h) timepoint. The mechanism validation was done using PAF receptor knockout (PAFR KO) and acid sphingomyelinase(ASM) knockout (SMPD1 KO) mice. We tested for post-burn intervention using topical imipramine, which is a functional inhibitor of ASM (FIASM). We also evaluated the Young (~2 months) and aged (&gt;18 months) mice to evaluate the effect of age. We found that the increasing TBSA did not change skin MVP levels but led to a burn severity-dependent increase in circulating MVPs, BT and multi-organ dysfunction(MOD). Topical imipramine decreased levels of plasma MVPs and BT in the young mice. The aged mice developed amplified gut leak(BT) and MOD despite having comparable MVP levels. We discovered that aged mice exhibited decreased intestinal PAF-degrading capacity (lower gut alkaline </w:t>
      </w:r>
      <w:proofErr w:type="spellStart"/>
      <w:r>
        <w:t>SMase</w:t>
      </w:r>
      <w:proofErr w:type="spellEnd"/>
      <w:r>
        <w:t xml:space="preserve"> activity) than young mice, providing a mechanism for the increased toxicity of burns in aged populations. To summarize, these findings highlight MVP and PAF as central mediators of TBI-induced systemic toxicity. Targeting MVP release via FIASM or PAFR inhibitors may prevent sepsis and organ failure in burn patients, offering novel therapeutic strategies to improve outcomes in severe burn injuries.</w:t>
      </w:r>
    </w:p>
    <w:p w14:paraId="2BED2D08" w14:textId="77777777" w:rsidR="000421CA" w:rsidRDefault="000421CA" w:rsidP="000421CA">
      <w:r>
        <w:br w:type="page"/>
      </w:r>
    </w:p>
    <w:p w14:paraId="44E565E5" w14:textId="40D9779F" w:rsidR="000421CA" w:rsidRDefault="00004C7D" w:rsidP="000421CA">
      <w:pPr>
        <w:spacing w:after="0"/>
      </w:pPr>
      <w:r>
        <w:rPr>
          <w:sz w:val="24"/>
        </w:rPr>
        <w:lastRenderedPageBreak/>
        <w:t>College of Science and Mathematics</w:t>
      </w:r>
    </w:p>
    <w:p w14:paraId="4B1D469F" w14:textId="39790CDB" w:rsidR="000421CA" w:rsidRDefault="000421CA" w:rsidP="000421CA">
      <w:pPr>
        <w:spacing w:after="240"/>
      </w:pPr>
    </w:p>
    <w:p w14:paraId="3D2B10BD" w14:textId="77777777" w:rsidR="000421CA" w:rsidRDefault="000421CA" w:rsidP="000421CA">
      <w:pPr>
        <w:spacing w:after="0"/>
      </w:pPr>
      <w:r>
        <w:rPr>
          <w:sz w:val="24"/>
        </w:rPr>
        <w:t>Mitochondrial Proteins modulate α-Synuclein toxicity</w:t>
      </w:r>
    </w:p>
    <w:p w14:paraId="382DE75F" w14:textId="4B8520A9" w:rsidR="000421CA" w:rsidRDefault="000421CA" w:rsidP="000421CA">
      <w:pPr>
        <w:spacing w:after="0"/>
      </w:pPr>
      <w:r>
        <w:rPr>
          <w:sz w:val="24"/>
        </w:rPr>
        <w:t>Biswas, Kamalika</w:t>
      </w:r>
    </w:p>
    <w:p w14:paraId="5411F0A4" w14:textId="4D42D8EC" w:rsidR="000421CA" w:rsidRDefault="000421CA" w:rsidP="000421CA">
      <w:pPr>
        <w:spacing w:after="240"/>
      </w:pPr>
      <w:r>
        <w:rPr>
          <w:sz w:val="24"/>
        </w:rPr>
        <w:t>Mentor: Zhong, Quan</w:t>
      </w:r>
    </w:p>
    <w:p w14:paraId="4F49A835" w14:textId="77777777" w:rsidR="000421CA" w:rsidRDefault="000421CA" w:rsidP="000421CA">
      <w:pPr>
        <w:spacing w:after="480"/>
      </w:pPr>
      <w:r>
        <w:t>Parkinson's disease (PD) is the second most common age-related neurodegenerative disorder, characterized by the progressive loss of dopaminergic neurons in the substantia nigra. The hallmark of PD pathology is the accumulation or misfolding of a neuronal protein called α-synuclein. Mitochondria play a crucial role in the pathogenic mechanism of Parkinson’s disease, as misfolded α-synuclein has been shown to disrupt mitochondrial integrity. Key features of mitochondrial dysfunction include impaired complex 1 activity in the electron transport chain (ETC) and increased reactive oxygen species (ROS) production, ultimately contributing to selective degeneration of dopaminergic neurons. While ~10% of PD cases are familial, most cases are sporadic with largely unknown causes. Some of these sporadic forms of PD converge on the pathways regulating mitochondrial function and bioenergetics. Using yeast as a model, I aim to investigate 16 mitochondrial-associated proteins that were previously identified as enhancers of α-synuclein toxicity. Through growth assay and fluorescence microscopy, I aim to determine how these proteins affect mitochondrial function and α-synuclein accumulation. Understanding these mechanisms may reveal conserved pathways underlying sporadic PD and provide new therapeutic targets.</w:t>
      </w:r>
    </w:p>
    <w:p w14:paraId="57C6D0EB" w14:textId="77777777" w:rsidR="000421CA" w:rsidRDefault="000421CA" w:rsidP="000421CA">
      <w:r>
        <w:br w:type="page"/>
      </w:r>
    </w:p>
    <w:p w14:paraId="0149B525" w14:textId="2AB8425E" w:rsidR="000421CA" w:rsidRDefault="00004C7D" w:rsidP="000421CA">
      <w:pPr>
        <w:spacing w:after="0"/>
      </w:pPr>
      <w:r>
        <w:rPr>
          <w:sz w:val="24"/>
        </w:rPr>
        <w:lastRenderedPageBreak/>
        <w:t>College of Science and Mathematics</w:t>
      </w:r>
    </w:p>
    <w:p w14:paraId="1F1D0531" w14:textId="67D7FC89" w:rsidR="000421CA" w:rsidRDefault="000421CA" w:rsidP="000421CA">
      <w:pPr>
        <w:spacing w:after="240"/>
      </w:pPr>
    </w:p>
    <w:p w14:paraId="375CF318" w14:textId="77777777" w:rsidR="000421CA" w:rsidRDefault="000421CA" w:rsidP="000421CA">
      <w:pPr>
        <w:spacing w:after="0"/>
      </w:pPr>
      <w:r>
        <w:rPr>
          <w:sz w:val="24"/>
        </w:rPr>
        <w:t xml:space="preserve">Resistance is Futile: The ecological assimilation of the invasive shrub Elaeagnus </w:t>
      </w:r>
      <w:proofErr w:type="spellStart"/>
      <w:r>
        <w:rPr>
          <w:sz w:val="24"/>
        </w:rPr>
        <w:t>umbellata</w:t>
      </w:r>
      <w:proofErr w:type="spellEnd"/>
    </w:p>
    <w:p w14:paraId="03E6AA17" w14:textId="545D5AEB" w:rsidR="000421CA" w:rsidRDefault="000421CA" w:rsidP="000421CA">
      <w:pPr>
        <w:spacing w:after="0"/>
      </w:pPr>
      <w:r>
        <w:rPr>
          <w:sz w:val="24"/>
        </w:rPr>
        <w:t>Blevins, Dillynn</w:t>
      </w:r>
    </w:p>
    <w:p w14:paraId="4317DF5D" w14:textId="1C75C66F" w:rsidR="000421CA" w:rsidRDefault="000421CA" w:rsidP="000421CA">
      <w:pPr>
        <w:spacing w:after="240"/>
      </w:pPr>
      <w:r>
        <w:rPr>
          <w:sz w:val="24"/>
        </w:rPr>
        <w:t xml:space="preserve">Mentor: </w:t>
      </w:r>
      <w:proofErr w:type="spellStart"/>
      <w:r>
        <w:rPr>
          <w:sz w:val="24"/>
        </w:rPr>
        <w:t>Stireman</w:t>
      </w:r>
      <w:proofErr w:type="spellEnd"/>
      <w:r>
        <w:rPr>
          <w:sz w:val="24"/>
        </w:rPr>
        <w:t>, John</w:t>
      </w:r>
    </w:p>
    <w:p w14:paraId="05E0D6AB" w14:textId="77777777" w:rsidR="000421CA" w:rsidRDefault="000421CA" w:rsidP="000421CA">
      <w:pPr>
        <w:spacing w:after="480"/>
      </w:pPr>
      <w:r>
        <w:t xml:space="preserve">Invasive plant species are a major ecological threat to native ecosystems, often displacing natives and not contributing to ecosystem services. One widespread invasive plant species in Southwestern Ohio is the Asian shrub Elaeagnus </w:t>
      </w:r>
      <w:proofErr w:type="spellStart"/>
      <w:r>
        <w:t>umbellata</w:t>
      </w:r>
      <w:proofErr w:type="spellEnd"/>
      <w:r>
        <w:t xml:space="preserve"> (Autumn olive). First introduced in the 1830’s for ornamental uses and mine reclamation, Autumn olive is an abundant invader of forested and open habitats in our region. Not much is known about the ecological impact of Autumn olive in the United States, because of this, I am interested in studying its impacts on the native herbivore communities and the larger ecosystem. To do this, I quantified the abundance and richness of caterpillar species, on Autumn olive, and two native plant species Lindera benzoin, and Acer saccharum. Caterpillars were collected from each of the three plant species at 25 forested sites around The Miami Valley. Caterpillars were then brought back to the lab and reared through pupation and identified down to species. Additionally, leaves were collected from each plant species to compare the levels of herbivory experienced between Autumn olive and the two native woody plants. Contrary to my initial expectations, the results of my study show that Autumn olive hosts similar caterpillar abundance and species richness to native comparisons. Furthermore, Autumn olive exhibits similar herbivory percentages to native comparisons. This implies that Autumn olive is being assimilated into local ecosystems by hosting a wide diversity of caterpillar species and thus may be providing substantial ecosystems services.</w:t>
      </w:r>
    </w:p>
    <w:p w14:paraId="1D981678" w14:textId="77777777" w:rsidR="000421CA" w:rsidRDefault="000421CA" w:rsidP="000421CA">
      <w:r>
        <w:br w:type="page"/>
      </w:r>
    </w:p>
    <w:p w14:paraId="6EA2C3D8" w14:textId="42D0381F" w:rsidR="000421CA" w:rsidRDefault="00004C7D" w:rsidP="000421CA">
      <w:pPr>
        <w:spacing w:after="0"/>
      </w:pPr>
      <w:r>
        <w:rPr>
          <w:sz w:val="24"/>
        </w:rPr>
        <w:lastRenderedPageBreak/>
        <w:t>College of Science and Mathematics</w:t>
      </w:r>
    </w:p>
    <w:p w14:paraId="3B6078C5" w14:textId="37B73C84" w:rsidR="000421CA" w:rsidRDefault="000421CA" w:rsidP="000421CA">
      <w:pPr>
        <w:spacing w:after="240"/>
      </w:pPr>
    </w:p>
    <w:p w14:paraId="7F05EAAA" w14:textId="77777777" w:rsidR="000421CA" w:rsidRDefault="000421CA" w:rsidP="000421CA">
      <w:pPr>
        <w:spacing w:after="0"/>
      </w:pPr>
      <w:r>
        <w:rPr>
          <w:sz w:val="24"/>
        </w:rPr>
        <w:t>Investigating the mechanism of C11orf57-mediated suppression of FUS toxicity in Saccharomyces cerevisiae</w:t>
      </w:r>
    </w:p>
    <w:p w14:paraId="21087871" w14:textId="2222280B" w:rsidR="000421CA" w:rsidRDefault="000421CA" w:rsidP="000421CA">
      <w:pPr>
        <w:spacing w:after="0"/>
      </w:pPr>
      <w:proofErr w:type="spellStart"/>
      <w:r>
        <w:rPr>
          <w:sz w:val="24"/>
        </w:rPr>
        <w:t>Bomraspet</w:t>
      </w:r>
      <w:proofErr w:type="spellEnd"/>
      <w:r>
        <w:rPr>
          <w:sz w:val="24"/>
        </w:rPr>
        <w:t>, Andy Elnathan</w:t>
      </w:r>
    </w:p>
    <w:p w14:paraId="5D01441E" w14:textId="136704C4" w:rsidR="000421CA" w:rsidRDefault="000421CA" w:rsidP="000421CA">
      <w:pPr>
        <w:spacing w:after="240"/>
      </w:pPr>
      <w:r>
        <w:rPr>
          <w:sz w:val="24"/>
        </w:rPr>
        <w:t>Mentor: Ju, Shulin</w:t>
      </w:r>
    </w:p>
    <w:p w14:paraId="149F0E2A" w14:textId="77777777" w:rsidR="000421CA" w:rsidRDefault="000421CA" w:rsidP="000421CA">
      <w:pPr>
        <w:spacing w:after="480"/>
      </w:pPr>
      <w:r>
        <w:t xml:space="preserve">Investigating the mechanism of C11orf57-mediated suppression of FUS toxicity in Saccharomyces cerevisiae Andy Bomraspet, Elliott Hayden, Shuzhen Chen, Quan Zhong, Shulin Ju  Motor neurons in the brain and spinal cord degenerate in amyotrophic lateral sclerosis (ALS). A portion of ALS cases are connected with defects in the RNA-binding protein FUS, that mislocalizes from the nucleus to the cytoplasm under disease conditions. We still don't fully understand the precise mechanism by which FUS damages cells. Yeast is a model organism that our laboratory employs to investigate this. Despite lacking neurons, yeast have a large number of homologous cellular pathways that participate in responses to stress, RNA regulation, and protein processing. Important characteristics of ALS models, such as cytoplasmic clumping and diminished growth, are seen when human FUS is expressed in yeast. Various human genes that alter FUS toxicity were found in a prior large-scale screen carried out in our lab. The poorly characterized protein C11orf57 (NKAPD1) was one of the most potent suppressors of FUS. My project's objective is to understand how C11orf57 reduces FUS toxicity. Using </w:t>
      </w:r>
      <w:proofErr w:type="spellStart"/>
      <w:r>
        <w:t>MyLO</w:t>
      </w:r>
      <w:proofErr w:type="spellEnd"/>
      <w:r>
        <w:t xml:space="preserve"> RFP-tagged marker strains, in which each cellular organelle is labelled, fluorescence microscopy is being performed to investigate if suppression is linked to change in protein localization with particular cellular structures. I also will use pull-down and yeast two-hybrid assays to determine if C11orf57 directly interacts with FUS.</w:t>
      </w:r>
    </w:p>
    <w:p w14:paraId="34EF1DE0" w14:textId="77777777" w:rsidR="000421CA" w:rsidRDefault="000421CA" w:rsidP="000421CA">
      <w:r>
        <w:br w:type="page"/>
      </w:r>
    </w:p>
    <w:p w14:paraId="5459F231" w14:textId="06047F93" w:rsidR="000421CA" w:rsidRDefault="00441698" w:rsidP="000421CA">
      <w:pPr>
        <w:spacing w:after="0"/>
      </w:pPr>
      <w:r>
        <w:rPr>
          <w:sz w:val="24"/>
        </w:rPr>
        <w:lastRenderedPageBreak/>
        <w:t>Boonshoft School of Medicine</w:t>
      </w:r>
    </w:p>
    <w:p w14:paraId="205DBC03" w14:textId="7B9491A6" w:rsidR="000421CA" w:rsidRDefault="000421CA" w:rsidP="000421CA">
      <w:pPr>
        <w:spacing w:after="240"/>
      </w:pPr>
    </w:p>
    <w:p w14:paraId="47028333" w14:textId="77777777" w:rsidR="000421CA" w:rsidRDefault="000421CA" w:rsidP="000421CA">
      <w:pPr>
        <w:spacing w:after="0"/>
      </w:pPr>
      <w:r>
        <w:rPr>
          <w:sz w:val="24"/>
        </w:rPr>
        <w:t>Long-Term Stability of Urinary and Kidney Protein Biomarkers for Diabetic Kidney Disease</w:t>
      </w:r>
    </w:p>
    <w:p w14:paraId="467019A3" w14:textId="4772658E" w:rsidR="000421CA" w:rsidRDefault="000421CA" w:rsidP="000421CA">
      <w:pPr>
        <w:spacing w:after="0"/>
      </w:pPr>
      <w:r>
        <w:rPr>
          <w:sz w:val="24"/>
        </w:rPr>
        <w:t>Bostick, Nadia Alexis</w:t>
      </w:r>
    </w:p>
    <w:p w14:paraId="55946173" w14:textId="0AAEC757" w:rsidR="000421CA" w:rsidRDefault="000421CA" w:rsidP="000421CA">
      <w:pPr>
        <w:spacing w:after="240"/>
      </w:pPr>
      <w:r>
        <w:rPr>
          <w:sz w:val="24"/>
        </w:rPr>
        <w:t xml:space="preserve">Mentor: </w:t>
      </w:r>
      <w:proofErr w:type="spellStart"/>
      <w:r>
        <w:rPr>
          <w:sz w:val="24"/>
        </w:rPr>
        <w:t>Elased</w:t>
      </w:r>
      <w:proofErr w:type="spellEnd"/>
      <w:r>
        <w:rPr>
          <w:sz w:val="24"/>
        </w:rPr>
        <w:t>, Khalid</w:t>
      </w:r>
    </w:p>
    <w:p w14:paraId="386B4D72" w14:textId="77777777" w:rsidR="000421CA" w:rsidRDefault="000421CA" w:rsidP="000421CA">
      <w:pPr>
        <w:spacing w:after="480"/>
      </w:pPr>
      <w:r>
        <w:t xml:space="preserve">There is growing interest from the National Institutes of Health (NIH) in applying stored samples from large clinical trials to accelerate biomarker discovery in Type 1 Diabetes and Diabetic Kidney Disease (DKD). Access to such repositories could greatly enhance both retrospective and prospective studies on Diabetes; However, one major limitation is that very little is known about the stability of proteins in samples stored for longer than a couple of years. Most published reports evaluate protein integrity for only a week up to one year, and in some cases in the absence of protease inhibitors and with uncontrolled storage conditions, leaving considerable uncertainty regarding the long-term reliability of </w:t>
      </w:r>
      <w:proofErr w:type="spellStart"/>
      <w:r>
        <w:t>biobanked</w:t>
      </w:r>
      <w:proofErr w:type="spellEnd"/>
      <w:r>
        <w:t xml:space="preserve"> samples. In this study, we evaluated urine and kidney samples collected 13 years ago, stabilized with protease inhibitors at the time of collection, and stored continuously at –80°C. The key DKD biomarkers neprilysin (NEP), angiotensin-converting enzyme 2 (ACE2), and albumin were readily detectable, demonstrating that our protocol efficiently maintains protein integrity over the course of over a decade. Significantly, recovery of proteins from urine, in which baseline levels are inherently low, underscores the value of optimized preservation approaches to ensure maximization of the utility of </w:t>
      </w:r>
      <w:proofErr w:type="spellStart"/>
      <w:r>
        <w:t>biobanked</w:t>
      </w:r>
      <w:proofErr w:type="spellEnd"/>
      <w:r>
        <w:t xml:space="preserve"> samples. Our findings clearly demonstrate the feasibility of long-term storage for retrospective studies and highlight the untapped potential of NIH and institutional archives. Confirming protein stability over more than a decade validates the use of long-stored specimens and opens opportunities to identify novel disease markers without relying solely on new, large-scale clinical cohorts.</w:t>
      </w:r>
    </w:p>
    <w:p w14:paraId="0786F1FF" w14:textId="77777777" w:rsidR="000421CA" w:rsidRDefault="000421CA" w:rsidP="000421CA">
      <w:r>
        <w:br w:type="page"/>
      </w:r>
    </w:p>
    <w:p w14:paraId="5EFE8679" w14:textId="06A6F944" w:rsidR="000421CA" w:rsidRDefault="00E533E4" w:rsidP="000421CA">
      <w:pPr>
        <w:spacing w:after="0"/>
      </w:pPr>
      <w:r>
        <w:rPr>
          <w:sz w:val="24"/>
        </w:rPr>
        <w:lastRenderedPageBreak/>
        <w:t>College of Health, Education, and Human Services</w:t>
      </w:r>
    </w:p>
    <w:p w14:paraId="0796473C" w14:textId="5E8F39D7" w:rsidR="000421CA" w:rsidRDefault="000421CA" w:rsidP="000421CA">
      <w:pPr>
        <w:spacing w:after="240"/>
      </w:pPr>
    </w:p>
    <w:p w14:paraId="2B3770BC" w14:textId="77777777" w:rsidR="000421CA" w:rsidRDefault="000421CA" w:rsidP="000421CA">
      <w:pPr>
        <w:spacing w:after="0"/>
      </w:pPr>
      <w:r>
        <w:rPr>
          <w:sz w:val="24"/>
        </w:rPr>
        <w:t>Sexuality After a Spinal Cord Injury</w:t>
      </w:r>
    </w:p>
    <w:p w14:paraId="08ECAF05" w14:textId="3A0730A2" w:rsidR="000421CA" w:rsidRDefault="000421CA" w:rsidP="000421CA">
      <w:pPr>
        <w:spacing w:after="0"/>
      </w:pPr>
      <w:r>
        <w:rPr>
          <w:sz w:val="24"/>
        </w:rPr>
        <w:t>Busey, Cassie</w:t>
      </w:r>
    </w:p>
    <w:p w14:paraId="7B031AAB" w14:textId="40E18E5E" w:rsidR="000421CA" w:rsidRDefault="000421CA" w:rsidP="000421CA">
      <w:pPr>
        <w:spacing w:after="240"/>
      </w:pPr>
      <w:r>
        <w:rPr>
          <w:sz w:val="24"/>
        </w:rPr>
        <w:t>Mentor: Williams, Julie</w:t>
      </w:r>
    </w:p>
    <w:p w14:paraId="412319BE" w14:textId="77777777" w:rsidR="000421CA" w:rsidRDefault="000421CA" w:rsidP="000421CA">
      <w:pPr>
        <w:spacing w:after="480"/>
      </w:pPr>
      <w:r>
        <w:t>One of the leading health concerns following a spinal cord injury are sexual issues, which are affected by the loss of mobility, shortness of breath, autonomic dysreflexia, and management of bladder and bowel movements. We synthesized and reviewed the literature from peer-reviewed studies that highlighted influential factors, gender variation, and therapeutic interventions pertaining to sexuality after a spinal cord injury. The research indicates that cisgender men experience more external stigma and loss of physical function, however are more likely to experience stable psychological capabilities. Cisgender women with a spinal cord injury experience more comorbid social issues involving age, affect, and being undertreated. Furthermore, it has been documented that cisgender men recognize changes in sexual functioning sooner than cisgender women do. Recommended therapeutic interventions for individuals impacted by a spinal cord injury involve the acknowledgment of all intersecting identities, promotion of self-efficacy and self-confidence, exploring views on body image, and psychoeducation on sexual wellbeing. The limitations we noticed throughout our investigation of the research involve a lack of representation for non-monogamous individuals, as well as members of the LGBTQ+ community. These findings express that restarting a sexual relationship post-spinal cord injury involves openness, trust, and confidence between all consenting partners. It is recommended that this topic is further researched to include populations that are currently underrepresented in the literature.</w:t>
      </w:r>
    </w:p>
    <w:p w14:paraId="7A9F5F05" w14:textId="77777777" w:rsidR="000421CA" w:rsidRDefault="000421CA" w:rsidP="000421CA">
      <w:r>
        <w:br w:type="page"/>
      </w:r>
    </w:p>
    <w:p w14:paraId="4F0D2A38" w14:textId="3FF1F6B5" w:rsidR="000421CA" w:rsidRDefault="00B537EA" w:rsidP="000421CA">
      <w:pPr>
        <w:spacing w:after="0"/>
      </w:pPr>
      <w:r>
        <w:rPr>
          <w:sz w:val="24"/>
        </w:rPr>
        <w:lastRenderedPageBreak/>
        <w:t>College of Engineering and Computer Science</w:t>
      </w:r>
    </w:p>
    <w:p w14:paraId="3668F2FE" w14:textId="7A6E5AEA" w:rsidR="000421CA" w:rsidRDefault="000421CA" w:rsidP="000421CA">
      <w:pPr>
        <w:spacing w:after="240"/>
      </w:pPr>
    </w:p>
    <w:p w14:paraId="733EBF94" w14:textId="77777777" w:rsidR="000421CA" w:rsidRDefault="000421CA" w:rsidP="000421CA">
      <w:pPr>
        <w:spacing w:after="0"/>
      </w:pPr>
      <w:proofErr w:type="spellStart"/>
      <w:r>
        <w:rPr>
          <w:sz w:val="24"/>
        </w:rPr>
        <w:t>Neurosymbolic</w:t>
      </w:r>
      <w:proofErr w:type="spellEnd"/>
      <w:r>
        <w:rPr>
          <w:sz w:val="24"/>
        </w:rPr>
        <w:t xml:space="preserve"> AI - Knowledge Graph Embeddings</w:t>
      </w:r>
    </w:p>
    <w:p w14:paraId="494891A4" w14:textId="37296AA6" w:rsidR="000421CA" w:rsidRDefault="000421CA" w:rsidP="000421CA">
      <w:pPr>
        <w:spacing w:after="0"/>
      </w:pPr>
      <w:r>
        <w:rPr>
          <w:sz w:val="24"/>
        </w:rPr>
        <w:t>Castro, David Andrew</w:t>
      </w:r>
    </w:p>
    <w:p w14:paraId="00082A9B" w14:textId="4AED4248" w:rsidR="000421CA" w:rsidRDefault="000421CA" w:rsidP="000421CA">
      <w:pPr>
        <w:spacing w:after="240"/>
      </w:pPr>
      <w:r>
        <w:rPr>
          <w:sz w:val="24"/>
        </w:rPr>
        <w:t>Mentor: Shimizu, Cogan</w:t>
      </w:r>
    </w:p>
    <w:p w14:paraId="5457309C" w14:textId="77777777" w:rsidR="000421CA" w:rsidRDefault="000421CA" w:rsidP="000421CA">
      <w:pPr>
        <w:spacing w:after="480"/>
      </w:pPr>
      <w:r>
        <w:t xml:space="preserve">The purpose of this research project is to explore the latent spaces of knowledge graph embeddings using synthetic datasets in order to gain insight into the behaviors of knowledge graph embedding models. This is done by constructing synthetic knowledge graphs using relationships inferred from mathematical relationships between nodes with assigned numerical values, and creating high-dimensional embeddings using embedding models such as TransE, </w:t>
      </w:r>
      <w:proofErr w:type="spellStart"/>
      <w:r>
        <w:t>MuRE</w:t>
      </w:r>
      <w:proofErr w:type="spellEnd"/>
      <w:r>
        <w:t xml:space="preserve">, etc. Once embeddings are created, dimensionality reduction is performed using </w:t>
      </w:r>
      <w:proofErr w:type="gramStart"/>
      <w:r>
        <w:t>principle</w:t>
      </w:r>
      <w:proofErr w:type="gramEnd"/>
      <w:r>
        <w:t xml:space="preserve"> component analysis and a multilayer perceptron applied over the </w:t>
      </w:r>
      <w:proofErr w:type="gramStart"/>
      <w:r>
        <w:t>principle</w:t>
      </w:r>
      <w:proofErr w:type="gramEnd"/>
      <w:r>
        <w:t xml:space="preserve"> components. The aim is to formulate a technique whereby relationships inferred from numerical values can yield suggested knowledge learned from the </w:t>
      </w:r>
      <w:proofErr w:type="gramStart"/>
      <w:r>
        <w:t>principle</w:t>
      </w:r>
      <w:proofErr w:type="gramEnd"/>
      <w:r>
        <w:t xml:space="preserve"> components of a high-dimensional embedding of a knowledge graph.</w:t>
      </w:r>
    </w:p>
    <w:p w14:paraId="2FF0A245" w14:textId="77777777" w:rsidR="000421CA" w:rsidRDefault="000421CA" w:rsidP="000421CA">
      <w:r>
        <w:br w:type="page"/>
      </w:r>
    </w:p>
    <w:p w14:paraId="3D8E1120" w14:textId="488ABBA6" w:rsidR="000421CA" w:rsidRDefault="00B537EA" w:rsidP="000421CA">
      <w:pPr>
        <w:spacing w:after="0"/>
      </w:pPr>
      <w:r>
        <w:rPr>
          <w:sz w:val="24"/>
        </w:rPr>
        <w:lastRenderedPageBreak/>
        <w:t>College of Engineering and Computer Science</w:t>
      </w:r>
    </w:p>
    <w:p w14:paraId="7454B9F4" w14:textId="30FC4B49" w:rsidR="000421CA" w:rsidRDefault="000421CA" w:rsidP="000421CA">
      <w:pPr>
        <w:spacing w:after="240"/>
      </w:pPr>
    </w:p>
    <w:p w14:paraId="716EB2F5" w14:textId="77777777" w:rsidR="000421CA" w:rsidRDefault="000421CA" w:rsidP="000421CA">
      <w:pPr>
        <w:spacing w:after="0"/>
      </w:pPr>
      <w:r>
        <w:rPr>
          <w:sz w:val="24"/>
        </w:rPr>
        <w:t>Producing Formally Verified Lean Code for Automated Theorem Proving Quickly</w:t>
      </w:r>
    </w:p>
    <w:p w14:paraId="3ED461CE" w14:textId="6E11B6F7" w:rsidR="000421CA" w:rsidRDefault="000421CA" w:rsidP="000421CA">
      <w:pPr>
        <w:spacing w:after="0"/>
      </w:pPr>
      <w:proofErr w:type="spellStart"/>
      <w:r>
        <w:rPr>
          <w:sz w:val="24"/>
        </w:rPr>
        <w:t>Casturi</w:t>
      </w:r>
      <w:proofErr w:type="spellEnd"/>
      <w:r>
        <w:rPr>
          <w:sz w:val="24"/>
        </w:rPr>
        <w:t>, Shreyas</w:t>
      </w:r>
    </w:p>
    <w:p w14:paraId="74B8FEF7" w14:textId="38A51CFD" w:rsidR="000421CA" w:rsidRDefault="000421CA" w:rsidP="000421CA">
      <w:pPr>
        <w:spacing w:after="240"/>
      </w:pPr>
      <w:r>
        <w:rPr>
          <w:sz w:val="24"/>
        </w:rPr>
        <w:t>Mentor: Shimizu, Cogan</w:t>
      </w:r>
    </w:p>
    <w:p w14:paraId="781A2F7B" w14:textId="77777777" w:rsidR="000421CA" w:rsidRDefault="000421CA" w:rsidP="000421CA">
      <w:pPr>
        <w:spacing w:after="480"/>
      </w:pPr>
      <w:r>
        <w:t xml:space="preserve">Researchers have used LLMs to explore automated theorem proving for mathematical statements. Current state-of-the-art systems use a hybrid of LLMs and theorem provers to produce formally verified code that proves a theorem is true or false.  Yet these systems still produce many incorrect proofs of mathematical theorems and produce these proofs slowly. My work focuses on new approaches to </w:t>
      </w:r>
      <w:proofErr w:type="spellStart"/>
      <w:r>
        <w:t>neurosymbolic</w:t>
      </w:r>
      <w:proofErr w:type="spellEnd"/>
      <w:r>
        <w:t xml:space="preserve"> hybrid systems for automated theorem proving for improving correctness and accuracy.</w:t>
      </w:r>
    </w:p>
    <w:p w14:paraId="1F9C7527" w14:textId="77777777" w:rsidR="000421CA" w:rsidRDefault="000421CA" w:rsidP="000421CA">
      <w:r>
        <w:br w:type="page"/>
      </w:r>
    </w:p>
    <w:p w14:paraId="29674475" w14:textId="463A3BCE" w:rsidR="000421CA" w:rsidRDefault="000421CA" w:rsidP="000421CA">
      <w:pPr>
        <w:spacing w:after="240"/>
      </w:pPr>
      <w:r>
        <w:rPr>
          <w:sz w:val="24"/>
        </w:rPr>
        <w:lastRenderedPageBreak/>
        <w:t>College of Liberal Arts and College of Computer Science and Engineering.</w:t>
      </w:r>
    </w:p>
    <w:p w14:paraId="79B9F97E" w14:textId="77777777" w:rsidR="000421CA" w:rsidRDefault="000421CA" w:rsidP="000421CA">
      <w:pPr>
        <w:spacing w:after="0"/>
      </w:pPr>
      <w:r>
        <w:rPr>
          <w:sz w:val="24"/>
        </w:rPr>
        <w:t>Story Telling Through Movement</w:t>
      </w:r>
    </w:p>
    <w:p w14:paraId="6EA5516E" w14:textId="73AE4F6D" w:rsidR="000421CA" w:rsidRDefault="000421CA" w:rsidP="000421CA">
      <w:pPr>
        <w:spacing w:after="0"/>
      </w:pPr>
      <w:r>
        <w:rPr>
          <w:sz w:val="24"/>
        </w:rPr>
        <w:t>Chan, Bri</w:t>
      </w:r>
    </w:p>
    <w:p w14:paraId="5731D023" w14:textId="0129EF41" w:rsidR="000421CA" w:rsidRDefault="000421CA" w:rsidP="000421CA">
      <w:pPr>
        <w:spacing w:after="240"/>
      </w:pPr>
      <w:r>
        <w:rPr>
          <w:sz w:val="24"/>
        </w:rPr>
        <w:t>Mentor: Loges and Lamoine, Lacey and Jean</w:t>
      </w:r>
    </w:p>
    <w:p w14:paraId="2D0AAD33" w14:textId="77777777" w:rsidR="000421CA" w:rsidRDefault="000421CA" w:rsidP="000421CA">
      <w:pPr>
        <w:spacing w:after="480"/>
      </w:pPr>
      <w:r>
        <w:t>This research project investigates storytelling through movement by examining the choreographic process and thematic development of Light Dark Light, an original work created as part of my studies as a dance major. The piece explores the idea that periods of darkness are an inevitable and necessary part of reaching moments of clarity, strength, and light. Drawing from contemporary movement vocabulary, the choreography uses shifts in weight, spatial tension, and dynamic contrast to embody the emotional transitions described in the accompanying music, which reflects the cyclical nature of struggle and renewal.  The research analyzes how narrative emerges through physical choices, such as grounded, inward‑focused movement to represent heaviness, contrasted with expansive, lifted phrases that symbolize resilience and hope. Through rehearsal documentation, movement analysis, and reflective writing, the project considers how dancers internalize emotional intention and translate it into embodied storytelling. Audience perception and the universality of navigating dark and light periods also inform the study, highlighting how movement can communicate shared human experiences without relying on spoken language.  Ultimately, this project positions Light Dark Light as an example of how dance can narrate emotional journeys, using the body as a medium to express transformation, vulnerability, and the enduring presence of light after darkness.</w:t>
      </w:r>
    </w:p>
    <w:p w14:paraId="0DA3593E" w14:textId="77777777" w:rsidR="000421CA" w:rsidRDefault="000421CA" w:rsidP="000421CA">
      <w:r>
        <w:br w:type="page"/>
      </w:r>
    </w:p>
    <w:p w14:paraId="4EA35F96" w14:textId="7D7370A2" w:rsidR="000421CA" w:rsidRDefault="00004C7D" w:rsidP="000421CA">
      <w:pPr>
        <w:spacing w:after="0"/>
      </w:pPr>
      <w:r>
        <w:rPr>
          <w:sz w:val="24"/>
        </w:rPr>
        <w:lastRenderedPageBreak/>
        <w:t>College of Science and Mathematics</w:t>
      </w:r>
    </w:p>
    <w:p w14:paraId="738D3581" w14:textId="1FF2EEC0" w:rsidR="000421CA" w:rsidRDefault="000421CA" w:rsidP="000421CA">
      <w:pPr>
        <w:spacing w:after="240"/>
      </w:pPr>
    </w:p>
    <w:p w14:paraId="0B4A7CBE" w14:textId="77777777" w:rsidR="000421CA" w:rsidRDefault="000421CA" w:rsidP="000421CA">
      <w:pPr>
        <w:spacing w:after="0"/>
      </w:pPr>
      <w:r>
        <w:rPr>
          <w:sz w:val="24"/>
        </w:rPr>
        <w:t>Isolating arsenic adapted microorganisms from contaminated soils for bioremediation</w:t>
      </w:r>
    </w:p>
    <w:p w14:paraId="43A047A3" w14:textId="625BEB37" w:rsidR="000421CA" w:rsidRDefault="000421CA" w:rsidP="000421CA">
      <w:pPr>
        <w:spacing w:after="0"/>
      </w:pPr>
      <w:r>
        <w:rPr>
          <w:sz w:val="24"/>
        </w:rPr>
        <w:t>Chase, Eleanor Kathryn</w:t>
      </w:r>
    </w:p>
    <w:p w14:paraId="76E8FE0C" w14:textId="7B5B99E2" w:rsidR="000421CA" w:rsidRDefault="000421CA" w:rsidP="000421CA">
      <w:pPr>
        <w:spacing w:after="240"/>
      </w:pPr>
      <w:r>
        <w:rPr>
          <w:sz w:val="24"/>
        </w:rPr>
        <w:t>Mentor: Rúa, Megan</w:t>
      </w:r>
    </w:p>
    <w:p w14:paraId="6366F749" w14:textId="77777777" w:rsidR="000421CA" w:rsidRDefault="000421CA" w:rsidP="000421CA">
      <w:pPr>
        <w:spacing w:after="480"/>
      </w:pPr>
      <w:r>
        <w:t>Heavy metal soil pollution is a major environmental threat, risking agricultural productivity and groundwater safety. One of the biggest threats is Arsenic (As), a heavy metalloid element that primarily exists in soils as highly toxic inorganic As compounds and readily transfers between soil, groundwater, and living biomass. Organic As compounds are less common in the environment and less toxic. In polluted environments, heavy metals like As can be managed with bioremediation which uses microorganisms to transform or immobilize metals to reduce their toxicity in situ, with minimal ecosystem disturbance. Arsenic bioremediation research is currently limited in that few studies of As adapted microorganisms have investigated broader microbial community’s responses to As stress, instead focusing on individual species. To address this gap, I will culture bacterial and fungal communities from As polluted industrial and agricultural soils and grow the colonies in both mixed and isolated plates. From the isolated plates, I will select colonies for 16S/ ITS and whole-genome sequencing to determine species identification and identify known As mediating genes. Additionally, I will analyze the soils’ inorganic and organic As content using high performance liquid chromatography and mass spectrometry. I expect agricultural soil to have higher organic As content, which will correlate with a more diverse microbial community when grown in low As concentrations. There will be fewer distinct species from the industrial soil at low As concentrations, but they will have greater resilience against As stress, evidenced by continued growth on plates with progressively higher As concentrations. Many microbes will tolerate higher As concentrations when grown in mixed culture plates than in isolation due to As detoxification by the broader community. Understanding the role each species plays in its community's As remediation response will inform which pathways can be exploited for further detoxification in bioremediation projects.</w:t>
      </w:r>
    </w:p>
    <w:p w14:paraId="00299F23" w14:textId="77777777" w:rsidR="000421CA" w:rsidRDefault="000421CA" w:rsidP="000421CA">
      <w:r>
        <w:br w:type="page"/>
      </w:r>
    </w:p>
    <w:p w14:paraId="57CABF9B" w14:textId="6C78FDF9" w:rsidR="000421CA" w:rsidRDefault="00441698" w:rsidP="000421CA">
      <w:pPr>
        <w:spacing w:after="0"/>
      </w:pPr>
      <w:r>
        <w:rPr>
          <w:sz w:val="24"/>
        </w:rPr>
        <w:lastRenderedPageBreak/>
        <w:t>Boonshoft School of Medicine</w:t>
      </w:r>
    </w:p>
    <w:p w14:paraId="708C8A88" w14:textId="705AD5CC" w:rsidR="000421CA" w:rsidRDefault="000421CA" w:rsidP="000421CA">
      <w:pPr>
        <w:spacing w:after="240"/>
      </w:pPr>
    </w:p>
    <w:p w14:paraId="5AAB80E9" w14:textId="77777777" w:rsidR="000421CA" w:rsidRDefault="000421CA" w:rsidP="000421CA">
      <w:pPr>
        <w:spacing w:after="0"/>
      </w:pPr>
      <w:r>
        <w:rPr>
          <w:sz w:val="24"/>
        </w:rPr>
        <w:t>Arsenic Compound-Mediated Inhibition of Lung Cancer Growth: Mediators and Mechanistic Pathways Affecting Targeted Therapy.</w:t>
      </w:r>
    </w:p>
    <w:p w14:paraId="007D4E14" w14:textId="7E4DC90D" w:rsidR="000421CA" w:rsidRDefault="000421CA" w:rsidP="000421CA">
      <w:pPr>
        <w:spacing w:after="0"/>
      </w:pPr>
      <w:r>
        <w:rPr>
          <w:sz w:val="24"/>
        </w:rPr>
        <w:t xml:space="preserve">Chauhan, </w:t>
      </w:r>
      <w:proofErr w:type="spellStart"/>
      <w:r>
        <w:rPr>
          <w:sz w:val="24"/>
        </w:rPr>
        <w:t>Mittalkumari</w:t>
      </w:r>
      <w:proofErr w:type="spellEnd"/>
      <w:r>
        <w:rPr>
          <w:sz w:val="24"/>
        </w:rPr>
        <w:t xml:space="preserve"> </w:t>
      </w:r>
      <w:proofErr w:type="spellStart"/>
      <w:r>
        <w:rPr>
          <w:sz w:val="24"/>
        </w:rPr>
        <w:t>Shivsinh</w:t>
      </w:r>
      <w:proofErr w:type="spellEnd"/>
    </w:p>
    <w:p w14:paraId="62290A2A" w14:textId="0926FF46" w:rsidR="000421CA" w:rsidRDefault="000421CA" w:rsidP="000421CA">
      <w:pPr>
        <w:spacing w:after="240"/>
      </w:pPr>
      <w:r>
        <w:rPr>
          <w:sz w:val="24"/>
        </w:rPr>
        <w:t>Mentor: Sahu, Ravi</w:t>
      </w:r>
    </w:p>
    <w:p w14:paraId="5B77D03D" w14:textId="77777777" w:rsidR="000421CA" w:rsidRDefault="000421CA" w:rsidP="000421CA">
      <w:pPr>
        <w:spacing w:after="480"/>
      </w:pPr>
      <w:r>
        <w:t xml:space="preserve">Drug repurposing offers a novel approach to treat human malignancies, due to its ability to target multiple signaling pathways, and is increasingly studied in combination with standard targeted therapies. However, the impact of arsenic compounds on the efficacy of epidermal growth factor receptor (EGFR)-based tyrosine kinase inhibitors (TKIs) in lung cancer remain unclear, despite the clinical use of arsenic trioxide and the known role of platelet activating factor-receptor (PAFR)-mediated </w:t>
      </w:r>
      <w:proofErr w:type="spellStart"/>
      <w:r>
        <w:t>microvesicle</w:t>
      </w:r>
      <w:proofErr w:type="spellEnd"/>
      <w:r>
        <w:t xml:space="preserve"> particles (MVP) in tumor growth and therapeutic response. This study was designed to elucidate the roles and mechanisms of PAFR and MVP pathways in mediating the effects of arsenic trioxide and sodium </w:t>
      </w:r>
      <w:proofErr w:type="spellStart"/>
      <w:r>
        <w:t>arsenite</w:t>
      </w:r>
      <w:proofErr w:type="spellEnd"/>
      <w:r>
        <w:t xml:space="preserve"> on the growth and the efficacy of EGFR-TKIs such as gefitinib and erlotinib in non-small cell lung cancer (NSCLC) models. PAFR-expressing A549 and H1299 NSCLC cell lines were treated with or without arsenic compounds and EGFR-TKIs, and the outcomes including cell viability, cytotoxicity, migration, proliferation, and MVP release were evaluated using the MTT assay, CV assay, wound scratch assay, colony formation assay, and MVP analysis. Arsenic compounds decreased NSCLC cell viability and migration in a dose- and time-dependent manner, whereas PAFR activation attenuated their effect on migration. In addition, arsenic compounds also enhanced the cytotoxic responses to EGFR-TKIs.  Moreover, they induced a dose-dependent increase in MVP release, which was blocked by a PAFR antagonist and an acid sphingomyelinase inhibitor. These findings demonstrate that arsenic suppresses tumorigenic properties while promoting MVP secretion, underscoring the involvement of PAFR and MVP signaling in NSCLC.</w:t>
      </w:r>
    </w:p>
    <w:p w14:paraId="1E7C9771" w14:textId="77777777" w:rsidR="000421CA" w:rsidRDefault="000421CA" w:rsidP="000421CA">
      <w:r>
        <w:br w:type="page"/>
      </w:r>
    </w:p>
    <w:p w14:paraId="2CCA9761" w14:textId="352BD91C" w:rsidR="000421CA" w:rsidRDefault="00441698" w:rsidP="000421CA">
      <w:pPr>
        <w:spacing w:after="0"/>
      </w:pPr>
      <w:r>
        <w:rPr>
          <w:sz w:val="24"/>
        </w:rPr>
        <w:lastRenderedPageBreak/>
        <w:t>Boonshoft School of Medicine</w:t>
      </w:r>
    </w:p>
    <w:p w14:paraId="671B7B26" w14:textId="78EAC28E" w:rsidR="000421CA" w:rsidRDefault="000421CA" w:rsidP="000421CA">
      <w:pPr>
        <w:spacing w:after="240"/>
      </w:pPr>
    </w:p>
    <w:p w14:paraId="24503D31" w14:textId="77777777" w:rsidR="000421CA" w:rsidRDefault="000421CA" w:rsidP="000421CA">
      <w:pPr>
        <w:spacing w:after="0"/>
      </w:pPr>
      <w:r>
        <w:rPr>
          <w:sz w:val="24"/>
        </w:rPr>
        <w:t xml:space="preserve">Allelic Variation in the hs1.2 Enhancer Modulates </w:t>
      </w:r>
      <w:proofErr w:type="spellStart"/>
      <w:r>
        <w:rPr>
          <w:sz w:val="24"/>
        </w:rPr>
        <w:t>AhR</w:t>
      </w:r>
      <w:proofErr w:type="spellEnd"/>
      <w:r>
        <w:rPr>
          <w:sz w:val="24"/>
        </w:rPr>
        <w:t>-Mediated Suppression of Human Antibody Secretion</w:t>
      </w:r>
    </w:p>
    <w:p w14:paraId="35485938" w14:textId="648A2ABF" w:rsidR="000421CA" w:rsidRDefault="000421CA" w:rsidP="000421CA">
      <w:pPr>
        <w:spacing w:after="0"/>
      </w:pPr>
      <w:r>
        <w:rPr>
          <w:sz w:val="24"/>
        </w:rPr>
        <w:t>Chavan, Maitreyee Pradip</w:t>
      </w:r>
    </w:p>
    <w:p w14:paraId="339379B5" w14:textId="2396C066" w:rsidR="000421CA" w:rsidRDefault="000421CA" w:rsidP="000421CA">
      <w:pPr>
        <w:spacing w:after="240"/>
      </w:pPr>
      <w:r>
        <w:rPr>
          <w:sz w:val="24"/>
        </w:rPr>
        <w:t>Mentor: Sulentic, Courtney</w:t>
      </w:r>
    </w:p>
    <w:p w14:paraId="3BB0EFB8" w14:textId="77777777" w:rsidR="000421CA" w:rsidRDefault="000421CA" w:rsidP="000421CA">
      <w:pPr>
        <w:spacing w:after="480"/>
      </w:pPr>
      <w:r>
        <w:t>2,3,7,8-Tetrachlorodibenzo-p-dioxin (TCDD), a high-affinity ligand of the aryl hydrocarbon receptor (</w:t>
      </w:r>
      <w:proofErr w:type="spellStart"/>
      <w:r>
        <w:t>AhR</w:t>
      </w:r>
      <w:proofErr w:type="spellEnd"/>
      <w:r>
        <w:t xml:space="preserve">), is a well-established </w:t>
      </w:r>
      <w:proofErr w:type="spellStart"/>
      <w:r>
        <w:t>immunotoxicant</w:t>
      </w:r>
      <w:proofErr w:type="spellEnd"/>
      <w:r>
        <w:t xml:space="preserve"> that alters antibody production in B cells. Previous studies in our laboratory using the CL-01 human Burkitt lymphoma B-cell line showed that TCDD inhibits stimulation-induced IgG secretion, leaves IgM largely resistant, and exerts a stimulation-dependent inhibition on IgA. However, how genetic variation in the immunoglobulin heavy chain (</w:t>
      </w:r>
      <w:proofErr w:type="spellStart"/>
      <w:r>
        <w:t>IgH</w:t>
      </w:r>
      <w:proofErr w:type="spellEnd"/>
      <w:r>
        <w:t xml:space="preserve">), which encodes each antibody isotype (i.e. IgM, IgG, IgA), these effects remain unknown. The hs1.2 enhancer within a large regulatory region at the 3′ end of the </w:t>
      </w:r>
      <w:proofErr w:type="spellStart"/>
      <w:r>
        <w:t>IgH</w:t>
      </w:r>
      <w:proofErr w:type="spellEnd"/>
      <w:r>
        <w:t xml:space="preserve"> gene (3′IgHRR) exhibits allelic variations that have been linked to altered antibody expression and immune-related disorders. This project proposes to investigate if genetic variations in the hs1.2 enhancer modulate the response of human B cells to TCDD. Using a panel of cell lines and CRISPR/Cas9-edited clones exhibiting different hs1.2 alleles, the effects of TCDD on IgM, IgG, and IgA secretion will be evaluated. Antibody secretion will be measured by ELISA, and corresponding </w:t>
      </w:r>
      <w:proofErr w:type="spellStart"/>
      <w:r>
        <w:t>IgH</w:t>
      </w:r>
      <w:proofErr w:type="spellEnd"/>
      <w:r>
        <w:t xml:space="preserve"> constant region transcripts will be quantified by RT-qPCR. The outcomes of this work are expected to clarify whether hs1.2 enhancer variants result in differential sensitivity of antibody isotype production to environmental </w:t>
      </w:r>
      <w:proofErr w:type="spellStart"/>
      <w:r>
        <w:t>AhR</w:t>
      </w:r>
      <w:proofErr w:type="spellEnd"/>
      <w:r>
        <w:t xml:space="preserve"> ligands. Establishing this connection could inform how genetic variation contributes to differential immune response and may help assess individual susceptibility to </w:t>
      </w:r>
      <w:proofErr w:type="spellStart"/>
      <w:r>
        <w:t>immunotoxic</w:t>
      </w:r>
      <w:proofErr w:type="spellEnd"/>
      <w:r>
        <w:t xml:space="preserve"> exposures.</w:t>
      </w:r>
    </w:p>
    <w:p w14:paraId="0DE92CF4" w14:textId="77777777" w:rsidR="000421CA" w:rsidRDefault="000421CA" w:rsidP="000421CA">
      <w:r>
        <w:br w:type="page"/>
      </w:r>
    </w:p>
    <w:p w14:paraId="456E4E94" w14:textId="79B52F48" w:rsidR="000421CA" w:rsidRDefault="00441698" w:rsidP="000421CA">
      <w:pPr>
        <w:spacing w:after="0"/>
      </w:pPr>
      <w:r>
        <w:rPr>
          <w:sz w:val="24"/>
        </w:rPr>
        <w:lastRenderedPageBreak/>
        <w:t>Boonshoft School of Medicine</w:t>
      </w:r>
    </w:p>
    <w:p w14:paraId="4E32DF53" w14:textId="69479FE1" w:rsidR="000421CA" w:rsidRDefault="000421CA" w:rsidP="000421CA">
      <w:pPr>
        <w:spacing w:after="240"/>
      </w:pPr>
    </w:p>
    <w:p w14:paraId="10AE6353" w14:textId="77777777" w:rsidR="000421CA" w:rsidRDefault="000421CA" w:rsidP="000421CA">
      <w:pPr>
        <w:spacing w:after="0"/>
      </w:pPr>
      <w:r>
        <w:rPr>
          <w:sz w:val="24"/>
        </w:rPr>
        <w:t>The Diabetogenic Effect of Statins: Assessing Mechanisms, Risk Magnitude, and Clinical Relevance</w:t>
      </w:r>
    </w:p>
    <w:p w14:paraId="0D251769" w14:textId="35BC4495" w:rsidR="000421CA" w:rsidRDefault="000421CA" w:rsidP="000421CA">
      <w:pPr>
        <w:spacing w:after="0"/>
      </w:pPr>
      <w:proofErr w:type="spellStart"/>
      <w:r>
        <w:rPr>
          <w:sz w:val="24"/>
        </w:rPr>
        <w:t>Chejarla</w:t>
      </w:r>
      <w:proofErr w:type="spellEnd"/>
      <w:r>
        <w:rPr>
          <w:sz w:val="24"/>
        </w:rPr>
        <w:t>, Navya Sri</w:t>
      </w:r>
    </w:p>
    <w:p w14:paraId="62FFC9B8" w14:textId="129FD515" w:rsidR="000421CA" w:rsidRDefault="000421CA" w:rsidP="000421CA">
      <w:pPr>
        <w:spacing w:after="240"/>
      </w:pPr>
      <w:r>
        <w:rPr>
          <w:sz w:val="24"/>
        </w:rPr>
        <w:t xml:space="preserve">Mentor: </w:t>
      </w:r>
      <w:proofErr w:type="spellStart"/>
      <w:r>
        <w:rPr>
          <w:sz w:val="24"/>
        </w:rPr>
        <w:t>Elased</w:t>
      </w:r>
      <w:proofErr w:type="spellEnd"/>
      <w:r>
        <w:rPr>
          <w:sz w:val="24"/>
        </w:rPr>
        <w:t>, Khalid M</w:t>
      </w:r>
    </w:p>
    <w:p w14:paraId="09EA88FD" w14:textId="77777777" w:rsidR="000421CA" w:rsidRDefault="000421CA" w:rsidP="000421CA">
      <w:pPr>
        <w:spacing w:after="480"/>
      </w:pPr>
      <w:r>
        <w:t>Background: Statins remain the cornerstone of dyslipidemia management and cardiovascular disease prevention, yet accumulating evidence demonstrates a dose-dependent association between statin therapy and increased risk of new-onset diabetes mellitus (NODM). This presentation synthesizes data from randomized controlled trials, observational cohorts, and mechanistic studies to clarify the magnitude, mechanisms, and clinical implications of statin-associated diabetogenic risk. Methods: We reviewed individual participant data meta-analyses from the Cholesterol Treatment Trialists' Collaboration, large-scale prospective cohorts, and preclinical models examining statin effects on glucose homeostasis. Shared pathophysiologic mechanisms linking dyslipidemia and type 2 diabetes were examined, including insulin resistance, altered lipid metabolism, and chronic inflammation. Results: Moderate-intensity statins increase NODM risk by approximately 10% (rate ratio 1.10, 95% CI 1.04–1.16), while high-intensity statins confer a 36% relative increase (rate ratio 1.36, 95% CI 1.25–1.48), representing an absolute annual excess risk of approximately 0.2% and 1.3%, respectively. The majority (62%) of new diabetes diagnoses occur in individuals with baseline glycemic markers near diagnostic thresholds. Mechanistic studies demonstrate that statins impair pancreatic β-cell function, increase insulin resistance, and compromise peripheral insulin signaling through effects on calcium homeostasis, GLUT-4 expression, and intracellular cholesterol metabolism. Preclinical models confirm exacerbation of glycemic dysregulation with chronic statin exposure. Despite this diabetogenic signal, the net cardiovascular benefit is significant; treatment of 255 individuals with statins for 4 years results in one additional diabetes case while preventing 5.4 major vascular events. Conclusions: Statin therapy modestly increases diabetes risk in a dose-dependent manner, predominantly affecting individuals with pre-existing metabolic risk factors. The substantial cardiovascular benefits consistently outweigh this diabetogenic risk across populations. Emerging non-statin therapies, including PCSK9 inhibitors and bempedoic acid, demonstrate cardiovascular efficacy without increasing diabetes risk. Optimal clinical practice, therefore, requires individualized risk stratification, baseline and periodic glycemic monitoring, lifestyle optimization, and judicious selection of lipid-lowering therapy intensity to maximize cardiovascular protection while minimizing metabolic harm.</w:t>
      </w:r>
    </w:p>
    <w:p w14:paraId="05961008" w14:textId="77777777" w:rsidR="000421CA" w:rsidRDefault="000421CA" w:rsidP="000421CA">
      <w:r>
        <w:br w:type="page"/>
      </w:r>
    </w:p>
    <w:p w14:paraId="68F1A645" w14:textId="5D8AB15C" w:rsidR="000421CA" w:rsidRDefault="00441698" w:rsidP="000421CA">
      <w:pPr>
        <w:spacing w:after="0"/>
      </w:pPr>
      <w:r>
        <w:rPr>
          <w:sz w:val="24"/>
        </w:rPr>
        <w:lastRenderedPageBreak/>
        <w:t>Boonshoft School of Medicine</w:t>
      </w:r>
    </w:p>
    <w:p w14:paraId="0F3E2B54" w14:textId="39D5BF9E" w:rsidR="000421CA" w:rsidRDefault="000421CA" w:rsidP="000421CA">
      <w:pPr>
        <w:spacing w:after="240"/>
      </w:pPr>
    </w:p>
    <w:p w14:paraId="5F10FFEB" w14:textId="77777777" w:rsidR="000421CA" w:rsidRDefault="000421CA" w:rsidP="000421CA">
      <w:pPr>
        <w:spacing w:after="0"/>
      </w:pPr>
      <w:r>
        <w:rPr>
          <w:sz w:val="24"/>
        </w:rPr>
        <w:t>Exploring the efficacy of chlorpromazine as a repurposed drug in Glioblastoma</w:t>
      </w:r>
    </w:p>
    <w:p w14:paraId="2A36C260" w14:textId="2F3F84BD" w:rsidR="000421CA" w:rsidRDefault="000421CA" w:rsidP="000421CA">
      <w:pPr>
        <w:spacing w:after="0"/>
      </w:pPr>
      <w:r>
        <w:rPr>
          <w:sz w:val="24"/>
        </w:rPr>
        <w:t>Chintala, Akhila</w:t>
      </w:r>
    </w:p>
    <w:p w14:paraId="11CB94D9" w14:textId="32D40EAB" w:rsidR="000421CA" w:rsidRDefault="000421CA" w:rsidP="000421CA">
      <w:pPr>
        <w:spacing w:after="240"/>
      </w:pPr>
      <w:r>
        <w:rPr>
          <w:sz w:val="24"/>
        </w:rPr>
        <w:t>Mentor: Sahu, Ravi</w:t>
      </w:r>
    </w:p>
    <w:p w14:paraId="4A1A169B" w14:textId="77777777" w:rsidR="000421CA" w:rsidRDefault="000421CA" w:rsidP="000421CA">
      <w:pPr>
        <w:spacing w:after="480"/>
      </w:pPr>
      <w:r>
        <w:t>Glioblastoma is an aggressive and malignant primary brain tumor characterized by rapid progression and a poor prognosis, with a median survival of approximately 14–20 months. Epigenetic alterations play a critical role in glioblastoma progression and contribute to therapeutic resistance. The current standard of care includes surgical resection followed by chemotherapy and radiotherapy; however, patient outcomes remain poor, particularly in cases where standard treatment is ineffective. Drug repurposing offers a promising strategy to reduce development time and cost while improving therapeutic outcomes. Chlorpromazine, a typical antipsychotic drug, has emerged as a potential candidate for repurposing in glioblastoma treatment, particularly to overcome resistance to temozolomide associated with an unmethylated O6-methylguanine-DNA methyltransferase (MGMT) gene promoter. Preclinical studies suggest that chlorpromazine inhibits glioblastoma cell growth through multiple mechanisms, including downregulation of connexin-43, a protein implicated in chemotherapeutic resistance via enhanced DNA repair mechanisms when combined with temozolomide. Furthermore, a Phase II clinical trial demonstrated that the combination of chlorpromazine with temozolomide during the adjuvant phase resulted in significantly prolonged progression-free survival in patients with an unmethylated MGMT promoter. These findings suggest that chlorpromazine repurposing represents a promising therapeutic strategy with manageable side effects for overcoming temozolomide resistance in glioblastoma. The goal of this review is to evaluate the efficacy and safety of chlorpromazine as a repurposed therapeutic agent in the treatment of glioblastoma.  Keywords: Glioblastoma, Chlorpromazine, Unmethylated MGMT promoter, Drug repurposing, Temozolomide.</w:t>
      </w:r>
    </w:p>
    <w:p w14:paraId="65E226FA" w14:textId="77777777" w:rsidR="000421CA" w:rsidRDefault="000421CA" w:rsidP="000421CA">
      <w:r>
        <w:br w:type="page"/>
      </w:r>
    </w:p>
    <w:p w14:paraId="2FFE2986" w14:textId="79DCE566" w:rsidR="000421CA" w:rsidRDefault="00B537EA" w:rsidP="000421CA">
      <w:pPr>
        <w:spacing w:after="0"/>
      </w:pPr>
      <w:r>
        <w:rPr>
          <w:sz w:val="24"/>
        </w:rPr>
        <w:lastRenderedPageBreak/>
        <w:t>College of Engineering and Computer Science</w:t>
      </w:r>
    </w:p>
    <w:p w14:paraId="43F65EB6" w14:textId="5B9C6827" w:rsidR="000421CA" w:rsidRDefault="000421CA" w:rsidP="000421CA">
      <w:pPr>
        <w:spacing w:after="240"/>
      </w:pPr>
    </w:p>
    <w:p w14:paraId="5D9C4A4D" w14:textId="77777777" w:rsidR="000421CA" w:rsidRDefault="000421CA" w:rsidP="000421CA">
      <w:pPr>
        <w:spacing w:after="0"/>
      </w:pPr>
      <w:r>
        <w:rPr>
          <w:sz w:val="24"/>
        </w:rPr>
        <w:t>Evaluating Knowledge Graph Embeddings</w:t>
      </w:r>
    </w:p>
    <w:p w14:paraId="4FDB522D" w14:textId="02F14999" w:rsidR="000421CA" w:rsidRDefault="000421CA" w:rsidP="000421CA">
      <w:pPr>
        <w:spacing w:after="0"/>
      </w:pPr>
      <w:r>
        <w:rPr>
          <w:sz w:val="24"/>
        </w:rPr>
        <w:t>Christou, Antrea</w:t>
      </w:r>
    </w:p>
    <w:p w14:paraId="2BEC58E6" w14:textId="1F798FA1" w:rsidR="000421CA" w:rsidRDefault="000421CA" w:rsidP="000421CA">
      <w:pPr>
        <w:spacing w:after="240"/>
      </w:pPr>
      <w:r>
        <w:rPr>
          <w:sz w:val="24"/>
        </w:rPr>
        <w:t>Mentor: Shimizu, Cogan</w:t>
      </w:r>
    </w:p>
    <w:p w14:paraId="251B2D26" w14:textId="77777777" w:rsidR="000421CA" w:rsidRDefault="000421CA" w:rsidP="000421CA">
      <w:pPr>
        <w:spacing w:after="480"/>
      </w:pPr>
      <w:r>
        <w:t>The demand for effective modeling and exploration tools is rising along with the use of Knowledge Graphs (KG). To optimize ,machine learning tasks, this work offers an investigation of appropriate modeling approaches with respect to underlying graph structures.</w:t>
      </w:r>
    </w:p>
    <w:p w14:paraId="1E9FCA1F" w14:textId="77777777" w:rsidR="000421CA" w:rsidRDefault="000421CA" w:rsidP="000421CA">
      <w:r>
        <w:br w:type="page"/>
      </w:r>
    </w:p>
    <w:p w14:paraId="7319CD64" w14:textId="4B6ACF54" w:rsidR="000421CA" w:rsidRDefault="00004C7D" w:rsidP="000421CA">
      <w:pPr>
        <w:spacing w:after="0"/>
      </w:pPr>
      <w:r>
        <w:rPr>
          <w:sz w:val="24"/>
        </w:rPr>
        <w:lastRenderedPageBreak/>
        <w:t>College of Science and Mathematics</w:t>
      </w:r>
    </w:p>
    <w:p w14:paraId="7A65B31D" w14:textId="6CAADB18" w:rsidR="000421CA" w:rsidRDefault="000421CA" w:rsidP="000421CA">
      <w:pPr>
        <w:spacing w:after="240"/>
      </w:pPr>
    </w:p>
    <w:p w14:paraId="2A956BA7" w14:textId="77777777" w:rsidR="000421CA" w:rsidRDefault="000421CA" w:rsidP="000421CA">
      <w:pPr>
        <w:spacing w:after="0"/>
      </w:pPr>
      <w:r>
        <w:rPr>
          <w:sz w:val="24"/>
        </w:rPr>
        <w:t>Microplastics in Wastewater: Quantification and Fate in West-Central Ohio</w:t>
      </w:r>
    </w:p>
    <w:p w14:paraId="414FB2C5" w14:textId="32D5EE2F" w:rsidR="000421CA" w:rsidRDefault="000421CA" w:rsidP="000421CA">
      <w:pPr>
        <w:spacing w:after="0"/>
      </w:pPr>
      <w:proofErr w:type="spellStart"/>
      <w:r>
        <w:rPr>
          <w:sz w:val="24"/>
        </w:rPr>
        <w:t>Cimatu</w:t>
      </w:r>
      <w:proofErr w:type="spellEnd"/>
      <w:r>
        <w:rPr>
          <w:sz w:val="24"/>
        </w:rPr>
        <w:t>, Ryanne Antonette Navarro</w:t>
      </w:r>
    </w:p>
    <w:p w14:paraId="298A05E3" w14:textId="541F4F86" w:rsidR="000421CA" w:rsidRDefault="000421CA" w:rsidP="000421CA">
      <w:pPr>
        <w:spacing w:after="240"/>
      </w:pPr>
      <w:r>
        <w:rPr>
          <w:sz w:val="24"/>
        </w:rPr>
        <w:t>Mentor: Hossler, Kathleen</w:t>
      </w:r>
    </w:p>
    <w:p w14:paraId="2F109288" w14:textId="77777777" w:rsidR="000421CA" w:rsidRDefault="000421CA" w:rsidP="000421CA">
      <w:pPr>
        <w:spacing w:after="480"/>
      </w:pPr>
      <w:r>
        <w:t>Microplastics (MPs) are synthetic polymer particles 1–5 mm in size that have emerged as persistent aquatic contaminants due to their resistance to biological and chemical degradation. Municipal wastewater treatment plants (WWTPs) receive MPs from domestic and industrial sources including synthetic textiles, personal care products, and fragmented plastic debris, and thus represent a critical interface between human activities and aquatic ecosystems. Although WWTPs are not specifically designed to remove MPs, treatment processes such as filtration and solids removal can capture a portion of these particles, primarily transferring them from wastewater into concentrated sewage sludge. In activated-sludge systems, biological treatment processes regulate floc formation, aggregation, and solids retention. These processes may influence MP partition between the aqueous phase and sludge. Previous studies have demonstrated that microplastics are frequently removed from wastewater through partitioning into sewage sludge. However, biological mechanisms influencing this process remain unclear. As such, the role of activated-sludge microbial communities in controlling microplastic retention is underexplored.   This study will investigate the occurrence and distribution of MPs in municipal WWTPs in West-Central Ohio. Samples will be collected monthly for one year from influent, aeration basin mixed liquor, and digested sludge at three WWTPs. Microplastics will be extracted using wet peroxide oxidation and density separation protocols and enumerated using stereomicroscopy. Concurrently, activated-sludge microbial communities including protozoa and microscopic metazoans will be quantified using operator-based wastewater microscopy. Operational parameters such as total suspended solids, pH, and sludge age will be obtained directly from participating treatment facilities.   By integrating microplastic quantification with microbial community observations and operational data, this research aims to evaluate how biological treatment conditions influence microplastic partitioning into sludge. Understanding these relationships will improve knowledge of microplastic fate in wastewater treatment systems and inform management strategies to reduce microplastic release to aquatic environments.</w:t>
      </w:r>
    </w:p>
    <w:p w14:paraId="29D246AC" w14:textId="77777777" w:rsidR="000421CA" w:rsidRDefault="000421CA" w:rsidP="000421CA">
      <w:r>
        <w:br w:type="page"/>
      </w:r>
    </w:p>
    <w:p w14:paraId="02EDF11B" w14:textId="4682FE69" w:rsidR="000421CA" w:rsidRDefault="00B537EA" w:rsidP="000421CA">
      <w:pPr>
        <w:spacing w:after="0"/>
      </w:pPr>
      <w:r>
        <w:rPr>
          <w:sz w:val="24"/>
        </w:rPr>
        <w:lastRenderedPageBreak/>
        <w:t>College of Engineering and Computer Science</w:t>
      </w:r>
    </w:p>
    <w:p w14:paraId="32F8C1B0" w14:textId="57321FF5" w:rsidR="000421CA" w:rsidRDefault="000421CA" w:rsidP="000421CA">
      <w:pPr>
        <w:spacing w:after="240"/>
      </w:pPr>
    </w:p>
    <w:p w14:paraId="0C2B4326" w14:textId="77777777" w:rsidR="000421CA" w:rsidRDefault="000421CA" w:rsidP="000421CA">
      <w:pPr>
        <w:spacing w:after="0"/>
      </w:pPr>
      <w:r>
        <w:rPr>
          <w:sz w:val="24"/>
        </w:rPr>
        <w:t>Gamma Radiation Attenuation of Nanocomposites</w:t>
      </w:r>
    </w:p>
    <w:p w14:paraId="72BBC3D8" w14:textId="7DAA49D7" w:rsidR="000421CA" w:rsidRDefault="000421CA" w:rsidP="000421CA">
      <w:pPr>
        <w:spacing w:after="0"/>
      </w:pPr>
      <w:r>
        <w:rPr>
          <w:sz w:val="24"/>
        </w:rPr>
        <w:t>Clark, Lucas A</w:t>
      </w:r>
    </w:p>
    <w:p w14:paraId="28553AC5" w14:textId="08DFAC4E" w:rsidR="000421CA" w:rsidRDefault="000421CA" w:rsidP="000421CA">
      <w:pPr>
        <w:spacing w:after="240"/>
      </w:pPr>
      <w:r>
        <w:rPr>
          <w:sz w:val="24"/>
        </w:rPr>
        <w:t>Mentor: Mian, Ahsan</w:t>
      </w:r>
    </w:p>
    <w:p w14:paraId="68BC506F" w14:textId="77777777" w:rsidR="000421CA" w:rsidRDefault="000421CA" w:rsidP="000421CA">
      <w:pPr>
        <w:spacing w:after="480"/>
      </w:pPr>
      <w:r>
        <w:t>Ionizing radiation is a high priority concern for long-term and deep-space missions. Radiation can cause instantaneous and long-term damage to sensitive electronics. Gamma rays are one type of radiation and are highly penetrative. Current strategies for protecting electronics from radiation include adding redundant components, using error-tolerant code, switching to alternative radiation hardened components, or placing a shield around sensitive devices. Additional components increase the cost, weight, and complexity of the entire system. Error-tolerant code has limitations and is of no benefit if the component is significantly damaged or destroyed. Some components do not have radiation hardened alternatives. The development of these alternatives can have large lead times and be costly. Typically, radiation shields are made of high density and high atomic weight materials.  Adding a shielding layer of lead or depleted uranium, toxic metals commonly used, may be the easiest to implement, but increases weight and cost. This research aims to find alternative materials that can be lightweight, amenable to low cost, rapid deposition processes, and effective at shielding against gamma radiation. Phy-X/PSD software was used to calculate the half value layer and linear attenuation coefficient of several materials at multiple gamma ray energies. The shielding capabilities of additively manufactured polylactic acid (PLA) and polyamide, as well as commercial aluminum and lead sheets, were measured using a Geiger-Müller radiation counter when exposed to a Cesium-137 and Cobalt-60 source. To prevent the detector from counting beta rays coming from the gamma sources, a PLA beta shield was created. The gamma attenuation of all the materials were tested both with and without the beta shield. The attenuation results better matched the calculations when using the beta shield. Future research will utilize this software for designing new promising shielding materials and these new materials will be experimentally measured using the Geiger-Müller radiation counter.</w:t>
      </w:r>
    </w:p>
    <w:p w14:paraId="1B66AD5C" w14:textId="77777777" w:rsidR="000421CA" w:rsidRDefault="000421CA" w:rsidP="000421CA">
      <w:r>
        <w:br w:type="page"/>
      </w:r>
    </w:p>
    <w:p w14:paraId="4D155FA3" w14:textId="2F7484FE" w:rsidR="000421CA" w:rsidRDefault="0098410D" w:rsidP="000421CA">
      <w:pPr>
        <w:spacing w:after="0"/>
      </w:pPr>
      <w:r>
        <w:rPr>
          <w:sz w:val="24"/>
        </w:rPr>
        <w:lastRenderedPageBreak/>
        <w:t xml:space="preserve">College of </w:t>
      </w:r>
      <w:r w:rsidR="000421CA">
        <w:rPr>
          <w:sz w:val="24"/>
        </w:rPr>
        <w:t>Liberal Arts</w:t>
      </w:r>
    </w:p>
    <w:p w14:paraId="305B923F" w14:textId="429C55F9" w:rsidR="000421CA" w:rsidRDefault="000421CA" w:rsidP="000421CA">
      <w:pPr>
        <w:spacing w:after="240"/>
      </w:pPr>
    </w:p>
    <w:p w14:paraId="44065374" w14:textId="77777777" w:rsidR="000421CA" w:rsidRDefault="000421CA" w:rsidP="000421CA">
      <w:pPr>
        <w:spacing w:after="0"/>
      </w:pPr>
      <w:r>
        <w:rPr>
          <w:sz w:val="24"/>
        </w:rPr>
        <w:t>Elevating Fantasy by Using Science Fiction-Focused Critical Analysis</w:t>
      </w:r>
    </w:p>
    <w:p w14:paraId="41BC5771" w14:textId="39F32166" w:rsidR="000421CA" w:rsidRDefault="000421CA" w:rsidP="000421CA">
      <w:pPr>
        <w:spacing w:after="0"/>
      </w:pPr>
      <w:r>
        <w:rPr>
          <w:sz w:val="24"/>
        </w:rPr>
        <w:t>Cline, Aaron Gabriel</w:t>
      </w:r>
    </w:p>
    <w:p w14:paraId="71735CC5" w14:textId="3F5512B5" w:rsidR="000421CA" w:rsidRDefault="000421CA" w:rsidP="000421CA">
      <w:pPr>
        <w:spacing w:after="240"/>
      </w:pPr>
      <w:r>
        <w:rPr>
          <w:sz w:val="24"/>
        </w:rPr>
        <w:t>Mentor: Mejia-LaPerle, Carol</w:t>
      </w:r>
    </w:p>
    <w:p w14:paraId="71BADFC9" w14:textId="77777777" w:rsidR="000421CA" w:rsidRDefault="000421CA" w:rsidP="000421CA">
      <w:pPr>
        <w:spacing w:after="480"/>
      </w:pPr>
      <w:r>
        <w:t>Elevating Fantasy by Using Science Fiction-Focused Critical Analysis   Cline, Aaron Gabriel   Mentor: Mejia-LaPerle, Carol      Science Fiction and Fantasy are two fiction genres that have co-existed for centuries, but despite their interwoven existence and unique strengths, Fantasy as a genre has been demeaned in the public eye. Scholarly analysis reveals that many view it as a genre for children and incapable of portraying important, serious topics in the same way as Sci-Fi. This project asks: what does the diminishment of Fantasy as compared to Sci-Fi reveal about the genres themselves, and their projected and actual audiences? To answer this, I explored the distinct differences and similarities between the two genres through literary analysis, with attention to scholarly assessment of their value, and revealed how this compare-and-contrast cycle could be used to further elevate Fantasy back to a respected genre. This required reviews of multiple scholarly essays which discuss a large range of topics, including early women authors of Sci-Fi, the application of Sci-Fi and Fantasy in community growth settings, and general methods to analyze and differentiate the two genres. Literary reviews revealed the differences between the genre, as well as the major conclusion of what both brings these genres together and separates them to this day: a deeply rooted misogyny within the societal view of writers and consumers of each genre. Additionally, I concluded that Fantasy specifically is reliant upon community to discuss its overarching themes of connection, as well as its typical worldbuilding, though this theme continues to be undervalued in the critical field. These conclusions were applied to my Fantasy novel that takes an educated approach to discuss community, connection and identity through in-depth and relationship-reliant worldbuilding. From this writing, I concluded for the application of my research that my novel cannot be told as Sci-Fi and must be written as Fantasy due to its reliance on community as a narrative device.</w:t>
      </w:r>
    </w:p>
    <w:p w14:paraId="2928035A" w14:textId="77777777" w:rsidR="000421CA" w:rsidRDefault="000421CA" w:rsidP="000421CA">
      <w:r>
        <w:br w:type="page"/>
      </w:r>
    </w:p>
    <w:p w14:paraId="7F156BBC" w14:textId="3F67EC0C" w:rsidR="000421CA" w:rsidRDefault="00F203DF" w:rsidP="000421CA">
      <w:pPr>
        <w:spacing w:after="0"/>
      </w:pPr>
      <w:r>
        <w:rPr>
          <w:sz w:val="24"/>
        </w:rPr>
        <w:lastRenderedPageBreak/>
        <w:t xml:space="preserve">College of </w:t>
      </w:r>
      <w:r w:rsidR="00004C7D">
        <w:rPr>
          <w:sz w:val="24"/>
        </w:rPr>
        <w:t>College of Science and Mathematics</w:t>
      </w:r>
    </w:p>
    <w:p w14:paraId="7F22C510" w14:textId="6C506BE1" w:rsidR="000421CA" w:rsidRDefault="000421CA" w:rsidP="000421CA">
      <w:pPr>
        <w:spacing w:after="240"/>
      </w:pPr>
    </w:p>
    <w:p w14:paraId="73EEE27B" w14:textId="77777777" w:rsidR="000421CA" w:rsidRDefault="000421CA" w:rsidP="000421CA">
      <w:pPr>
        <w:spacing w:after="0"/>
      </w:pPr>
      <w:r>
        <w:rPr>
          <w:sz w:val="24"/>
        </w:rPr>
        <w:t xml:space="preserve">Novel Aqueous Processing of </w:t>
      </w:r>
      <w:proofErr w:type="spellStart"/>
      <w:r>
        <w:rPr>
          <w:sz w:val="24"/>
        </w:rPr>
        <w:t>Keraint</w:t>
      </w:r>
      <w:proofErr w:type="spellEnd"/>
    </w:p>
    <w:p w14:paraId="2E7389A3" w14:textId="7A58B43A" w:rsidR="000421CA" w:rsidRDefault="000421CA" w:rsidP="000421CA">
      <w:pPr>
        <w:spacing w:after="0"/>
      </w:pPr>
      <w:r>
        <w:rPr>
          <w:sz w:val="24"/>
        </w:rPr>
        <w:t>Dalton, Pauline</w:t>
      </w:r>
    </w:p>
    <w:p w14:paraId="2173FCEC" w14:textId="38071F3D" w:rsidR="000421CA" w:rsidRDefault="000421CA" w:rsidP="000421CA">
      <w:pPr>
        <w:spacing w:after="240"/>
      </w:pPr>
      <w:r>
        <w:rPr>
          <w:sz w:val="24"/>
        </w:rPr>
        <w:t xml:space="preserve">Mentor: </w:t>
      </w:r>
      <w:proofErr w:type="spellStart"/>
      <w:r>
        <w:rPr>
          <w:sz w:val="24"/>
        </w:rPr>
        <w:t>Farajollahi</w:t>
      </w:r>
      <w:proofErr w:type="spellEnd"/>
      <w:r>
        <w:rPr>
          <w:sz w:val="24"/>
        </w:rPr>
        <w:t>, Sanaz</w:t>
      </w:r>
    </w:p>
    <w:p w14:paraId="79BAA0E1" w14:textId="77777777" w:rsidR="000421CA" w:rsidRDefault="000421CA" w:rsidP="000421CA">
      <w:pPr>
        <w:spacing w:after="480"/>
      </w:pPr>
      <w:r>
        <w:t xml:space="preserve">Keratin, a fibrous structural protein, is one of the most abundant biomaterials on Earth, readily available from sources like wool, hair, feathers, and horns. Its unique hierarchical structure, characterized by a high content of disulfide bonds and extensive hydrogen bonding, imparts remarkable mechanical strength and chemical resistance2. However, these inherent properties also present significant challenges for its efficient processing and refabrication into value-added materials. The limited solubility and </w:t>
      </w:r>
      <w:proofErr w:type="spellStart"/>
      <w:r>
        <w:t>thermoplasticity</w:t>
      </w:r>
      <w:proofErr w:type="spellEnd"/>
      <w:r>
        <w:t xml:space="preserve"> of native keratin necessitate harsh processing conditions, often leading to denaturation and degradation, thus hindering its broader application potential in advanced material science. Recent advancements 2, showcase a novel approach to overcome these limitations through the strategic use of thiol-based Michael-type addition. This water-based method efficiently alters keratin's structure, transforming brittle and fragile native keratin into flexible, moldable bioplastics. While this chemical modification enables a significant improvement in processability and material properties, a current limitation lies in the irreversibility of the Michael-type addition, meaning the modified keratin does not readily revert to its original building blocks or inherited assembly characteristics. Here, to enable true circularity and expand applications, the reversibility of thiol-based Michael-type addition are exploited. This aims to achieve dynamic control over keratin's properties, allowing for multiple reprocessing cycles while preserving its natural building blocks and inherent self-assembly, leading to more sustainable material solutions. Additionally, chemical modification of keratin proteins thru phosphorylation is explored. Unlike </w:t>
      </w:r>
      <w:proofErr w:type="spellStart"/>
      <w:r>
        <w:t>sulfitolysis</w:t>
      </w:r>
      <w:proofErr w:type="spellEnd"/>
      <w:r>
        <w:t>-based methods, which rely on reducing disulfide bonds followed by Michael-type addition, phosphorylation targets nucleophilic amino acid residues like serine and threonine. This allows negatively charged phosphate groups to be added to the keratin surface, increasing its polarity and water compatibility through electrostatic interactions and hydrogen bonding. Interestingly, this goes against previous results seen with other proteins like rice protein, where phosphorylation did not contribute to improved solubility unless disulfide bonds were broken. But keratin’s cysteine-rich structure may allow surface-level changes to be enough to make it dispersible.</w:t>
      </w:r>
    </w:p>
    <w:p w14:paraId="07BACBF5" w14:textId="77777777" w:rsidR="000421CA" w:rsidRDefault="000421CA" w:rsidP="000421CA">
      <w:r>
        <w:br w:type="page"/>
      </w:r>
    </w:p>
    <w:p w14:paraId="242F1EFE" w14:textId="4E42E39B" w:rsidR="000421CA" w:rsidRDefault="00441698" w:rsidP="000421CA">
      <w:pPr>
        <w:spacing w:after="0"/>
      </w:pPr>
      <w:r>
        <w:rPr>
          <w:sz w:val="24"/>
        </w:rPr>
        <w:lastRenderedPageBreak/>
        <w:t>Boonshoft School of Medicine</w:t>
      </w:r>
    </w:p>
    <w:p w14:paraId="1BBF04C2" w14:textId="1EB59595" w:rsidR="000421CA" w:rsidRDefault="000421CA" w:rsidP="000421CA">
      <w:pPr>
        <w:spacing w:after="240"/>
      </w:pPr>
    </w:p>
    <w:p w14:paraId="0A26469E" w14:textId="77777777" w:rsidR="000421CA" w:rsidRDefault="000421CA" w:rsidP="000421CA">
      <w:pPr>
        <w:spacing w:after="0"/>
      </w:pPr>
      <w:r>
        <w:rPr>
          <w:sz w:val="24"/>
        </w:rPr>
        <w:t>Beyond the Siloes: A Unified Framework for Host-Pathogen-Pharmacokinetic Drivers of Antibiotic Resistance</w:t>
      </w:r>
    </w:p>
    <w:p w14:paraId="796FE174" w14:textId="1BB325C8" w:rsidR="000421CA" w:rsidRDefault="000421CA" w:rsidP="000421CA">
      <w:pPr>
        <w:spacing w:after="0"/>
      </w:pPr>
      <w:r>
        <w:rPr>
          <w:sz w:val="24"/>
        </w:rPr>
        <w:t>Davison, Tina</w:t>
      </w:r>
    </w:p>
    <w:p w14:paraId="542918F9" w14:textId="42BD2261" w:rsidR="000421CA" w:rsidRDefault="000421CA" w:rsidP="000421CA">
      <w:pPr>
        <w:spacing w:after="240"/>
      </w:pPr>
      <w:r>
        <w:rPr>
          <w:sz w:val="24"/>
        </w:rPr>
        <w:t>Mentor: Oroszi, Terry</w:t>
      </w:r>
    </w:p>
    <w:p w14:paraId="47AFEFA2" w14:textId="77777777" w:rsidR="000421CA" w:rsidRDefault="000421CA" w:rsidP="000421CA">
      <w:pPr>
        <w:spacing w:after="480"/>
      </w:pPr>
      <w:r>
        <w:t>Bacteria are well-known for their ability to create a variety of illnesses and diseases within the human body. An imperative issue in the scientific and clinical communities is bacterial resistance to the antibiotics that are used to treat these illnesses and diseases. Current literature is siloed into three distinct areas: pathogen resistance mechanisms, host pharmacogenomic influences on antibiotics, and pharmacokinetic/pharmacodynamic based strategies for dosing. Integrating these disjointed research areas will create a framework to better understand and treat antibiotic resistance, thus leading to a better understanding of pharmacology and patient care.</w:t>
      </w:r>
    </w:p>
    <w:p w14:paraId="4388F843" w14:textId="77777777" w:rsidR="000421CA" w:rsidRDefault="000421CA" w:rsidP="000421CA">
      <w:r>
        <w:br w:type="page"/>
      </w:r>
    </w:p>
    <w:p w14:paraId="78A8F715" w14:textId="0349A218" w:rsidR="000421CA" w:rsidRDefault="00441698" w:rsidP="000421CA">
      <w:pPr>
        <w:spacing w:after="0"/>
      </w:pPr>
      <w:r>
        <w:rPr>
          <w:sz w:val="24"/>
        </w:rPr>
        <w:lastRenderedPageBreak/>
        <w:t>Boonshoft School of Medicine</w:t>
      </w:r>
    </w:p>
    <w:p w14:paraId="164E626E" w14:textId="10A68F80" w:rsidR="000421CA" w:rsidRDefault="000421CA" w:rsidP="000421CA">
      <w:pPr>
        <w:spacing w:after="240"/>
      </w:pPr>
    </w:p>
    <w:p w14:paraId="5822CAB6" w14:textId="77777777" w:rsidR="000421CA" w:rsidRDefault="000421CA" w:rsidP="000421CA">
      <w:pPr>
        <w:spacing w:after="0"/>
      </w:pPr>
      <w:r>
        <w:rPr>
          <w:sz w:val="24"/>
        </w:rPr>
        <w:t>Efficacy and safety of chemoradiotherapy in small cell lung cancer</w:t>
      </w:r>
    </w:p>
    <w:p w14:paraId="49C77D29" w14:textId="4354EAC0" w:rsidR="000421CA" w:rsidRDefault="000421CA" w:rsidP="000421CA">
      <w:pPr>
        <w:spacing w:after="0"/>
      </w:pPr>
      <w:r>
        <w:rPr>
          <w:sz w:val="24"/>
        </w:rPr>
        <w:t>Devi, Meenu</w:t>
      </w:r>
    </w:p>
    <w:p w14:paraId="05196DF5" w14:textId="2BBEA5C9" w:rsidR="000421CA" w:rsidRDefault="000421CA" w:rsidP="000421CA">
      <w:pPr>
        <w:spacing w:after="240"/>
      </w:pPr>
      <w:r>
        <w:rPr>
          <w:sz w:val="24"/>
        </w:rPr>
        <w:t>Mentor: Sahu, Ravi</w:t>
      </w:r>
    </w:p>
    <w:p w14:paraId="3B9BFE3C" w14:textId="77777777" w:rsidR="000421CA" w:rsidRDefault="000421CA" w:rsidP="000421CA">
      <w:pPr>
        <w:spacing w:after="480"/>
      </w:pPr>
      <w:r>
        <w:t>Efficacy and safety of chemoradiotherapy in small cell lung cancer Meenu Devi, Dr. Ravi Sahu Department of Pharmacology and Toxicology, Wright State University, Abstract: Limited-stage small cell lung cancer (SCLC) is a rapidly growing and aggressive disease, but it responds well to the combination of chemotherapy and radiotherapy. This underscores the importance of refining radiation schedules and considering patient-specific factors, such as overall health, to achieve optimal outcomes. Several chemotherapy regimens have been combined with radiotherapy, with platinum-based combinations being the most commonly used due to their proven effectiveness in improving tumor response and survival. Across major studies, this combined approach has demonstrated high response rates, with side effects such as esophagitis generally being manageable. Looking forward, researchers are exploring whether modifications in radiation dose or delivery methods can further improve outcomes. The rapid progression of SCLC has also prompted investigations into reducing the overall length of treatment schedules. Advanced technologies such as intensity-modulated radiation therapy (IMRT) and positron emission tomography-computed tomography (PET-CT) may help spare healthy tissue and minimize toxicity. Additionally, emerging biomarkers may guide patient selection to identify those most likely to benefit from specific treatment strategies. The goal of this review is to highlight the effectiveness of chemoradiotherapy in limited-stage SCLC and discuss current and future approaches to optimize therapy. Keywords: Small cell lung cancer, concurrent chemoradiotherapy, Cisplatin, Etoposide.</w:t>
      </w:r>
    </w:p>
    <w:p w14:paraId="6A752068" w14:textId="77777777" w:rsidR="000421CA" w:rsidRDefault="000421CA" w:rsidP="000421CA">
      <w:r>
        <w:br w:type="page"/>
      </w:r>
    </w:p>
    <w:p w14:paraId="2A69231A" w14:textId="28C973D3" w:rsidR="000421CA" w:rsidRDefault="00441698" w:rsidP="000421CA">
      <w:pPr>
        <w:spacing w:after="0"/>
      </w:pPr>
      <w:r>
        <w:rPr>
          <w:sz w:val="24"/>
        </w:rPr>
        <w:lastRenderedPageBreak/>
        <w:t>Boonshoft School of Medicine</w:t>
      </w:r>
    </w:p>
    <w:p w14:paraId="1E7476D0" w14:textId="04B1C758" w:rsidR="000421CA" w:rsidRDefault="000421CA" w:rsidP="000421CA">
      <w:pPr>
        <w:spacing w:after="240"/>
      </w:pPr>
    </w:p>
    <w:p w14:paraId="6BFD366C" w14:textId="77777777" w:rsidR="000421CA" w:rsidRDefault="000421CA" w:rsidP="000421CA">
      <w:pPr>
        <w:spacing w:after="0"/>
      </w:pPr>
      <w:r>
        <w:rPr>
          <w:sz w:val="24"/>
        </w:rPr>
        <w:t xml:space="preserve">Role of the platelet-activating factor receptor pathway in </w:t>
      </w:r>
      <w:proofErr w:type="spellStart"/>
      <w:r>
        <w:rPr>
          <w:sz w:val="24"/>
        </w:rPr>
        <w:t>penfluridol</w:t>
      </w:r>
      <w:proofErr w:type="spellEnd"/>
      <w:r>
        <w:rPr>
          <w:sz w:val="24"/>
        </w:rPr>
        <w:t>-based combination therapy in lung cancer cells</w:t>
      </w:r>
    </w:p>
    <w:p w14:paraId="6C1DC471" w14:textId="088248F1" w:rsidR="000421CA" w:rsidRDefault="000421CA" w:rsidP="000421CA">
      <w:pPr>
        <w:spacing w:after="0"/>
      </w:pPr>
      <w:proofErr w:type="spellStart"/>
      <w:r>
        <w:rPr>
          <w:sz w:val="24"/>
        </w:rPr>
        <w:t>Dhengale</w:t>
      </w:r>
      <w:proofErr w:type="spellEnd"/>
      <w:r>
        <w:rPr>
          <w:sz w:val="24"/>
        </w:rPr>
        <w:t>, Shreya Manohar</w:t>
      </w:r>
    </w:p>
    <w:p w14:paraId="4D0622F4" w14:textId="0934E998" w:rsidR="000421CA" w:rsidRDefault="000421CA" w:rsidP="000421CA">
      <w:pPr>
        <w:spacing w:after="240"/>
      </w:pPr>
      <w:r>
        <w:rPr>
          <w:sz w:val="24"/>
        </w:rPr>
        <w:t>Mentor: Sahu, Ravi</w:t>
      </w:r>
    </w:p>
    <w:p w14:paraId="7F77C6E0" w14:textId="77777777" w:rsidR="000421CA" w:rsidRDefault="000421CA" w:rsidP="000421CA">
      <w:pPr>
        <w:spacing w:after="480"/>
      </w:pPr>
      <w:r>
        <w:t xml:space="preserve">Non-small cell lung cancer (NSCLC) remains a leading cause of cancer-related mortality, highlighting the need for improved therapeutic strategies. Although epidermal growth factor receptor (EGFR) tyrosine kinase inhibitors (TKIs) have advanced targeted therapy, their clinical efficacy is frequently compromised by the development of resistance. Drug repurposing offers a cost-effective and time-efficient strategy to enhance existing treatments. </w:t>
      </w:r>
      <w:proofErr w:type="spellStart"/>
      <w:r>
        <w:t>Penfluridol</w:t>
      </w:r>
      <w:proofErr w:type="spellEnd"/>
      <w:r>
        <w:t xml:space="preserve">, an FDA-approved antipsychotic drug, has demonstrated anticancer activity through modulation of EGFR-related signaling; however, the contribution of platelet-activating factor receptor (PAFR) signaling to its anticancer effects remains unclear. This study investigates whether </w:t>
      </w:r>
      <w:proofErr w:type="spellStart"/>
      <w:r>
        <w:t>penfluridol</w:t>
      </w:r>
      <w:proofErr w:type="spellEnd"/>
      <w:r>
        <w:t xml:space="preserve"> can enhance EGFR-TKI efficacy in NSCLC and examines the regulatory role of PAFR signaling. To that end, PAFR-expressing A549 and H1299 NSCLC cell lines were treated with </w:t>
      </w:r>
      <w:proofErr w:type="spellStart"/>
      <w:r>
        <w:t>penfluridol</w:t>
      </w:r>
      <w:proofErr w:type="spellEnd"/>
      <w:r>
        <w:t xml:space="preserve"> alone or in combination with EGFR-TKIs and a PAFR antagonist. Our findings demonstrate that </w:t>
      </w:r>
      <w:proofErr w:type="spellStart"/>
      <w:r>
        <w:t>penfluridol</w:t>
      </w:r>
      <w:proofErr w:type="spellEnd"/>
      <w:r>
        <w:t xml:space="preserve"> significantly inhibits NSCLC cell viability and migration in a dose- and time-dependent manner. Moreover, </w:t>
      </w:r>
      <w:proofErr w:type="spellStart"/>
      <w:r>
        <w:t>penfluridol</w:t>
      </w:r>
      <w:proofErr w:type="spellEnd"/>
      <w:r>
        <w:t xml:space="preserve"> enhances the efficacy of EGFR-TKIs, with the greatest effects observed when </w:t>
      </w:r>
      <w:proofErr w:type="spellStart"/>
      <w:r>
        <w:t>penfluridol</w:t>
      </w:r>
      <w:proofErr w:type="spellEnd"/>
      <w:r>
        <w:t xml:space="preserve">, EGFR-TKIs, and a PAFR antagonist were used in combination. Conversely, PAFR activation attenuated </w:t>
      </w:r>
      <w:proofErr w:type="spellStart"/>
      <w:r>
        <w:t>penfluridol</w:t>
      </w:r>
      <w:proofErr w:type="spellEnd"/>
      <w:r>
        <w:t xml:space="preserve">-mediated effects, identifying PAFR as a key modulator of this response. Ongoing studies are focused on identifying the downstream targets involved in these effects, including pathways associated with apoptosis in </w:t>
      </w:r>
      <w:proofErr w:type="spellStart"/>
      <w:r>
        <w:t>penfluridol</w:t>
      </w:r>
      <w:proofErr w:type="spellEnd"/>
      <w:r>
        <w:t xml:space="preserve">-based combination approaches. Collectively, these findings support the repurposing of </w:t>
      </w:r>
      <w:proofErr w:type="spellStart"/>
      <w:r>
        <w:t>penfluridol</w:t>
      </w:r>
      <w:proofErr w:type="spellEnd"/>
      <w:r>
        <w:t xml:space="preserve"> as a promising strategy to improve targeted therapy outcomes in NSCLC.</w:t>
      </w:r>
    </w:p>
    <w:p w14:paraId="31157038" w14:textId="77777777" w:rsidR="000421CA" w:rsidRDefault="000421CA" w:rsidP="000421CA">
      <w:r>
        <w:br w:type="page"/>
      </w:r>
    </w:p>
    <w:p w14:paraId="1E7EDCF4" w14:textId="49932761" w:rsidR="000421CA" w:rsidRDefault="00BE52E3" w:rsidP="000421CA">
      <w:pPr>
        <w:spacing w:after="0"/>
      </w:pPr>
      <w:r>
        <w:rPr>
          <w:sz w:val="24"/>
        </w:rPr>
        <w:lastRenderedPageBreak/>
        <w:t xml:space="preserve">College of </w:t>
      </w:r>
      <w:r w:rsidR="00B537EA">
        <w:rPr>
          <w:sz w:val="24"/>
        </w:rPr>
        <w:t>College of Engineering and Computer Science</w:t>
      </w:r>
    </w:p>
    <w:p w14:paraId="03EF307F" w14:textId="438A8526" w:rsidR="000421CA" w:rsidRDefault="000421CA" w:rsidP="000421CA">
      <w:pPr>
        <w:spacing w:after="240"/>
      </w:pPr>
    </w:p>
    <w:p w14:paraId="26E98BE2" w14:textId="0A0959CD" w:rsidR="000421CA" w:rsidRDefault="000421CA" w:rsidP="000421CA">
      <w:pPr>
        <w:spacing w:after="0"/>
      </w:pPr>
      <w:r>
        <w:rPr>
          <w:sz w:val="24"/>
        </w:rPr>
        <w:t>Graph Reconstruction and Alignment for Integrity and Validation (GRAIL)</w:t>
      </w:r>
    </w:p>
    <w:p w14:paraId="68A82D33" w14:textId="2DC284C6" w:rsidR="000421CA" w:rsidRDefault="000421CA" w:rsidP="000421CA">
      <w:pPr>
        <w:spacing w:after="0"/>
      </w:pPr>
      <w:r>
        <w:rPr>
          <w:sz w:val="24"/>
        </w:rPr>
        <w:t xml:space="preserve">Dhungel, </w:t>
      </w:r>
      <w:proofErr w:type="spellStart"/>
      <w:r>
        <w:rPr>
          <w:sz w:val="24"/>
        </w:rPr>
        <w:t>Krischal</w:t>
      </w:r>
      <w:proofErr w:type="spellEnd"/>
    </w:p>
    <w:p w14:paraId="16DADE0A" w14:textId="1A6C6205" w:rsidR="000421CA" w:rsidRDefault="000421CA" w:rsidP="000421CA">
      <w:pPr>
        <w:spacing w:after="240"/>
      </w:pPr>
      <w:r>
        <w:rPr>
          <w:sz w:val="24"/>
        </w:rPr>
        <w:t>Mentor: Shimizu, Cogan</w:t>
      </w:r>
    </w:p>
    <w:p w14:paraId="6584D74F" w14:textId="77777777" w:rsidR="000421CA" w:rsidRDefault="000421CA" w:rsidP="000421CA">
      <w:pPr>
        <w:spacing w:after="480"/>
      </w:pPr>
      <w:r>
        <w:t>Large Language Models (LLMs) often generate responses that are fluent but factually incorrect, a phenomenon known as hallucination. Detecting such errors is particularly challenging when incorrect claims are structurally embedded within otherwise coherent text. This work introduces GRAIL (Graph Reconstruction and Alignment for Integrity and Validation), a graph-based framework for hallucination detection that evaluates generated responses through structured knowledge validation rather than surface-level similarity. GRAIL reconstructs a unified semantic graph from LLM outputs by extracting entities, relations, and event structures. The graph is then normalized through entity linking to canonical identifiers derived from an authoritative reference knowledge graph. A structured knowledge graph representation is constructed and aligned with the reference graph to identify unsupported or inconsistent triples. By focusing on relational and structural consistency, GRAIL flags any unsupported claims and logical inconsistencies. The proposed framework provides a modular and extensible approach for improving the factual reliability and interpretability of LLM-generated responses across knowledge-intensive domains.</w:t>
      </w:r>
    </w:p>
    <w:p w14:paraId="3444DBF3" w14:textId="77777777" w:rsidR="000421CA" w:rsidRDefault="000421CA" w:rsidP="000421CA">
      <w:r>
        <w:br w:type="page"/>
      </w:r>
    </w:p>
    <w:p w14:paraId="50B6C27B" w14:textId="020612DF" w:rsidR="000421CA" w:rsidRDefault="00004C7D" w:rsidP="000421CA">
      <w:pPr>
        <w:spacing w:after="0"/>
      </w:pPr>
      <w:r>
        <w:rPr>
          <w:sz w:val="24"/>
        </w:rPr>
        <w:lastRenderedPageBreak/>
        <w:t>College of Liberal Arts</w:t>
      </w:r>
    </w:p>
    <w:p w14:paraId="0E4FD449" w14:textId="37F70D75" w:rsidR="000421CA" w:rsidRDefault="000421CA" w:rsidP="000421CA">
      <w:pPr>
        <w:spacing w:after="240"/>
      </w:pPr>
    </w:p>
    <w:p w14:paraId="4C3B3E2C" w14:textId="77777777" w:rsidR="000421CA" w:rsidRDefault="000421CA" w:rsidP="000421CA">
      <w:pPr>
        <w:spacing w:after="0"/>
      </w:pPr>
      <w:r>
        <w:rPr>
          <w:sz w:val="24"/>
        </w:rPr>
        <w:t>Stories of Our Soldiers: Unearthing Our Past to Preserve for the Future</w:t>
      </w:r>
    </w:p>
    <w:p w14:paraId="17CCF847" w14:textId="1D595090" w:rsidR="000421CA" w:rsidRDefault="000421CA" w:rsidP="000421CA">
      <w:pPr>
        <w:spacing w:after="0"/>
      </w:pPr>
      <w:r>
        <w:rPr>
          <w:sz w:val="24"/>
        </w:rPr>
        <w:t>Doyal, Shannon Heather Bynum</w:t>
      </w:r>
    </w:p>
    <w:p w14:paraId="2D5D6A8D" w14:textId="0674553F" w:rsidR="000421CA" w:rsidRDefault="000421CA" w:rsidP="000421CA">
      <w:pPr>
        <w:spacing w:after="240"/>
      </w:pPr>
      <w:r>
        <w:rPr>
          <w:sz w:val="24"/>
        </w:rPr>
        <w:t>Mentor: Warshawsky, Daniel</w:t>
      </w:r>
    </w:p>
    <w:p w14:paraId="73CD63E2" w14:textId="77777777" w:rsidR="000421CA" w:rsidRDefault="000421CA" w:rsidP="000421CA">
      <w:pPr>
        <w:spacing w:after="480"/>
      </w:pPr>
      <w:r>
        <w:t>The people who serve our country in the military are more than their military service. They are actual people, just like the rest of society. “Stories of Our Soldiers: Unearthing Our Past to Preserve for the Future” aims to expand public understanding of our extended local Medal of Honor recipients by exploring and documenting their lives beyond their military service. While recipients of the United States’ highest military honor are often celebrated for acts of valor in combat, their post-service lives, challenges, and contributions to their communities frequently go unrecognized in historical narratives. This project utilizes archival research, oral histories, and community engagement to construct nuanced, human-centered stories of recipients from our region, focusing on their personal journeys, family ties, civic engagement, and struggles to reintegrate into civilian life. By situating these veterans within broader historical and social contexts, the project challenges the tendency to reduce recipients to singular acts of heroism and instead reflects on their legacies as multi-faceted citizens. The resulting digital and print narratives are designed to serve as accessible educational resources for schools, museums, and local organizations, fostering a more comprehensive appreciation of military and local history. Ultimately, this approach seeks to bridge generational divides, honor complex individual experiences, and preserve the lived stories of our community’s heroes for future generations.</w:t>
      </w:r>
    </w:p>
    <w:p w14:paraId="297DCBF1" w14:textId="77777777" w:rsidR="000421CA" w:rsidRDefault="000421CA" w:rsidP="000421CA">
      <w:r>
        <w:br w:type="page"/>
      </w:r>
    </w:p>
    <w:p w14:paraId="5A05932C" w14:textId="2FF9460E" w:rsidR="000421CA" w:rsidRDefault="00004C7D" w:rsidP="000421CA">
      <w:pPr>
        <w:spacing w:after="0"/>
      </w:pPr>
      <w:r>
        <w:rPr>
          <w:sz w:val="24"/>
        </w:rPr>
        <w:lastRenderedPageBreak/>
        <w:t>College of Science and Mathematics</w:t>
      </w:r>
    </w:p>
    <w:p w14:paraId="22EBE8C9" w14:textId="0B7890E0" w:rsidR="000421CA" w:rsidRDefault="000421CA" w:rsidP="000421CA">
      <w:pPr>
        <w:spacing w:after="240"/>
      </w:pPr>
    </w:p>
    <w:p w14:paraId="0518AC42" w14:textId="77777777" w:rsidR="000421CA" w:rsidRDefault="000421CA" w:rsidP="000421CA">
      <w:pPr>
        <w:spacing w:after="0"/>
      </w:pPr>
      <w:r>
        <w:rPr>
          <w:sz w:val="24"/>
        </w:rPr>
        <w:t>SK Channel Expression in the Caudate Nucleus and Prefrontal Cortex of a Mouse Model of ALS/FTLD</w:t>
      </w:r>
    </w:p>
    <w:p w14:paraId="1E950AEA" w14:textId="69ED0CA4" w:rsidR="000421CA" w:rsidRDefault="000421CA" w:rsidP="000421CA">
      <w:pPr>
        <w:spacing w:after="0"/>
      </w:pPr>
      <w:proofErr w:type="spellStart"/>
      <w:r>
        <w:rPr>
          <w:sz w:val="24"/>
        </w:rPr>
        <w:t>Dzhafarova</w:t>
      </w:r>
      <w:proofErr w:type="spellEnd"/>
      <w:r>
        <w:rPr>
          <w:sz w:val="24"/>
        </w:rPr>
        <w:t>, Rabia</w:t>
      </w:r>
    </w:p>
    <w:p w14:paraId="56D0698E" w14:textId="460AE1EB" w:rsidR="000421CA" w:rsidRDefault="000421CA" w:rsidP="000421CA">
      <w:pPr>
        <w:spacing w:after="240"/>
      </w:pPr>
      <w:r>
        <w:rPr>
          <w:sz w:val="24"/>
        </w:rPr>
        <w:t>Mentor: Elbasiouny, Sherif</w:t>
      </w:r>
    </w:p>
    <w:p w14:paraId="146E4F6B" w14:textId="77777777" w:rsidR="000421CA" w:rsidRDefault="000421CA" w:rsidP="000421CA">
      <w:pPr>
        <w:spacing w:after="480"/>
      </w:pPr>
      <w:r>
        <w:t xml:space="preserve">Amyotrophic lateral sclerosis (ALS) is increasingly recognized as a multisystem neurodegenerative disease, with up to 50% of patients exhibiting comorbid frontotemporal lobar degeneration (FTLD). These disorders share overlapping molecular pathology, particularly the </w:t>
      </w:r>
      <w:proofErr w:type="spellStart"/>
      <w:r>
        <w:t>mislocalization</w:t>
      </w:r>
      <w:proofErr w:type="spellEnd"/>
      <w:r>
        <w:t xml:space="preserve"> and aggregation of the protein TDP-43 and exist along a disease spectrum rather than as distinct conditions. While ALS has traditionally been characterized by motor neuron degeneration, emerging evidence suggests that altered neuronal excitability in non-motor brain regions contributes to cognitive and behavioral symptoms in both diseases. The molecular mechanisms underlying these changes remain poorly understood.  This project investigates whether TDP-43 pathology alters the expression and spatial organization of small conductance calcium activated potassium (SK) channels in the prefrontal cortex and striatum, regions critical for cognitive and motor function. SK channels regulate neuronal excitability by shaping firing patterns through the medium afterhyperpolarization following action potentials. Although SK channel alterations have been linked to excitability changes, their role outside the motor system is unknown.  We hypothesize that neurons from TDP-43 transgenic mice will exhibit altered SK channel expression compared to transgenic-negative controls, reflected by differences in SK labeling volume, membrane coverage, and fluorescence intensity. High resolution fluorescent microscopy images (100x), from twenty mice, including ALS/FTLD-positive and controls of both sexes, will be analyzed. Nine regions of interest per brain region will be generated per animal. SK positive neuronal </w:t>
      </w:r>
      <w:proofErr w:type="spellStart"/>
      <w:r>
        <w:t>somata</w:t>
      </w:r>
      <w:proofErr w:type="spellEnd"/>
      <w:r>
        <w:t xml:space="preserve"> will be reconstructed in three dimensions through computational generation of regions of interest from image stacks, enabling precise quantification of SK channel organization across the full soma membrane.  We expect disease-positive mice to show measurable disruptions in SK channel organization relative to controls. These findings will clarify how TDP-43 pathology alters ion channel organization and neuronal excitability in non-motor regions, potentially informing therapeutic strategies targeting ion channel regulation in neurodegenerative disease.</w:t>
      </w:r>
    </w:p>
    <w:p w14:paraId="66E985C0" w14:textId="77777777" w:rsidR="000421CA" w:rsidRDefault="000421CA" w:rsidP="000421CA">
      <w:r>
        <w:br w:type="page"/>
      </w:r>
    </w:p>
    <w:p w14:paraId="27BCF456" w14:textId="15C20C55" w:rsidR="000421CA" w:rsidRDefault="00004C7D" w:rsidP="000421CA">
      <w:pPr>
        <w:spacing w:after="0"/>
      </w:pPr>
      <w:r>
        <w:rPr>
          <w:sz w:val="24"/>
        </w:rPr>
        <w:lastRenderedPageBreak/>
        <w:t>College of College of College of Science and Mathematics</w:t>
      </w:r>
    </w:p>
    <w:p w14:paraId="16F65C10" w14:textId="1989AD7E" w:rsidR="000421CA" w:rsidRDefault="000421CA" w:rsidP="000421CA">
      <w:pPr>
        <w:spacing w:after="240"/>
      </w:pPr>
    </w:p>
    <w:p w14:paraId="3E3090B0" w14:textId="77777777" w:rsidR="000421CA" w:rsidRDefault="000421CA" w:rsidP="000421CA">
      <w:pPr>
        <w:spacing w:after="0"/>
      </w:pPr>
      <w:r>
        <w:rPr>
          <w:sz w:val="24"/>
        </w:rPr>
        <w:t>Effect of Cytoskeleton Binding Proteins on Alpha - Synuclein Toxicity in Yeast</w:t>
      </w:r>
    </w:p>
    <w:p w14:paraId="682B8B6C" w14:textId="60F8659E" w:rsidR="000421CA" w:rsidRDefault="000421CA" w:rsidP="000421CA">
      <w:pPr>
        <w:spacing w:after="0"/>
      </w:pPr>
      <w:proofErr w:type="spellStart"/>
      <w:r>
        <w:rPr>
          <w:sz w:val="24"/>
        </w:rPr>
        <w:t>Egamberdieva</w:t>
      </w:r>
      <w:proofErr w:type="spellEnd"/>
      <w:r>
        <w:rPr>
          <w:sz w:val="24"/>
        </w:rPr>
        <w:t>, Malohat</w:t>
      </w:r>
    </w:p>
    <w:p w14:paraId="6990A61E" w14:textId="345F39BD" w:rsidR="000421CA" w:rsidRDefault="000421CA" w:rsidP="000421CA">
      <w:pPr>
        <w:spacing w:after="240"/>
      </w:pPr>
      <w:r>
        <w:rPr>
          <w:sz w:val="24"/>
        </w:rPr>
        <w:t>Mentor: Zhong, Quan</w:t>
      </w:r>
    </w:p>
    <w:p w14:paraId="6D41BEB6" w14:textId="77777777" w:rsidR="000421CA" w:rsidRDefault="000421CA" w:rsidP="000421CA">
      <w:pPr>
        <w:spacing w:after="480"/>
      </w:pPr>
      <w:r>
        <w:t>Parkinson’s disease is a progressive neurodegenerative disorder that affects movement and quality of life for millions of people worldwide. A key characteristic of the disease is the accumulation of the toxic protein alpha-synuclein within neurons. My research focuses on understanding how cytoskeleton-binding proteins, which maintain cellular structure and transport, influence alpha-synuclein toxicity. Using yeast as a model organism, I aim to investigate whether changes in these proteins can increase cellular stress and reduce cell viability. Understanding these outcomes may help reveal how cytoskeleton-binding proteins contribute to cellular damage related to Parkinson’s disease.</w:t>
      </w:r>
    </w:p>
    <w:p w14:paraId="0E3E48F3" w14:textId="77777777" w:rsidR="000421CA" w:rsidRDefault="000421CA" w:rsidP="000421CA">
      <w:r>
        <w:br w:type="page"/>
      </w:r>
    </w:p>
    <w:p w14:paraId="06815D49" w14:textId="480802B2" w:rsidR="000421CA" w:rsidRDefault="00004C7D" w:rsidP="000421CA">
      <w:pPr>
        <w:spacing w:after="0"/>
      </w:pPr>
      <w:r>
        <w:rPr>
          <w:sz w:val="24"/>
        </w:rPr>
        <w:lastRenderedPageBreak/>
        <w:t>College of Science and Mathematics</w:t>
      </w:r>
    </w:p>
    <w:p w14:paraId="2BE4662E" w14:textId="499C5932" w:rsidR="000421CA" w:rsidRDefault="000421CA" w:rsidP="000421CA">
      <w:pPr>
        <w:spacing w:after="240"/>
      </w:pPr>
    </w:p>
    <w:p w14:paraId="0ADFC00B" w14:textId="77777777" w:rsidR="000421CA" w:rsidRDefault="000421CA" w:rsidP="000421CA">
      <w:pPr>
        <w:spacing w:after="0"/>
      </w:pPr>
      <w:r>
        <w:rPr>
          <w:sz w:val="24"/>
        </w:rPr>
        <w:t>ALS-Linked MATR3 Causes Cell Size Enlargement in Budding Yeast</w:t>
      </w:r>
    </w:p>
    <w:p w14:paraId="44D71221" w14:textId="1CBB04AA" w:rsidR="000421CA" w:rsidRDefault="000421CA" w:rsidP="000421CA">
      <w:pPr>
        <w:spacing w:after="0"/>
      </w:pPr>
      <w:r>
        <w:rPr>
          <w:sz w:val="24"/>
        </w:rPr>
        <w:t>El-zein, Widad</w:t>
      </w:r>
    </w:p>
    <w:p w14:paraId="09DF554E" w14:textId="4DAEC247" w:rsidR="000421CA" w:rsidRDefault="000421CA" w:rsidP="000421CA">
      <w:pPr>
        <w:spacing w:after="240"/>
      </w:pPr>
      <w:r>
        <w:rPr>
          <w:sz w:val="24"/>
        </w:rPr>
        <w:t>Mentor: Ju, Shulin</w:t>
      </w:r>
    </w:p>
    <w:p w14:paraId="57D85897" w14:textId="77777777" w:rsidR="000421CA" w:rsidRDefault="000421CA" w:rsidP="000421CA">
      <w:pPr>
        <w:spacing w:after="480"/>
      </w:pPr>
      <w:r>
        <w:t>Amyotrophic lateral sclerosis (ALS) is a fatal neurodegenerative disease characterized by progressive motor neuron degeneration and paralysis. The disease results in loss of voluntary movement and in more advanced stages ends in paralysis, then death. Mutations in the RNA-binding protein Matrin-3 have been linked to ALS, but the cellular mechanisms underlying Matrin-3-mediated toxicity remain poorly understood. Matrin-3 is a nuclear protein involved in RNA processing and gene regulation, and disease-associated mutations have been shown to alter its localization, stability, and aggregation propensity. Using yeast as a model organism, we have observed that expression of ALS-associated MATR3 recapitulates the pathological characteristics seen in ALS neurons. Interestingly, MATR3 expression also results in a significant increase in cell size. In yeast, cell size is tightly regulated and reflects coordination between growth, nutrient signaling, and cellular stress responses. Changes in cell size often occur when these regulatory pathways are disrupted. Therefore, the increase in cell size observed with MATR3 expression suggests that MATR3 may interfere with conserved pathways that control cellular growth and homeostasis. In this study, we are exploring the role of ALS-associated MATR3 in disrupting conserved growth-regulatory networks and stress pathways that can result in dysregulation of cell size homeostasis in yeast. Understanding how MATR3 alters these conserved pathways may provide important insight into the cellular mechanisms underlying MATR3-mediated toxicity in ALS.</w:t>
      </w:r>
    </w:p>
    <w:p w14:paraId="21CB8F18" w14:textId="77777777" w:rsidR="000421CA" w:rsidRDefault="000421CA" w:rsidP="000421CA">
      <w:r>
        <w:br w:type="page"/>
      </w:r>
    </w:p>
    <w:p w14:paraId="193D5753" w14:textId="063A44BE" w:rsidR="000421CA" w:rsidRDefault="00B537EA" w:rsidP="000421CA">
      <w:pPr>
        <w:spacing w:after="0"/>
      </w:pPr>
      <w:r>
        <w:rPr>
          <w:sz w:val="24"/>
        </w:rPr>
        <w:lastRenderedPageBreak/>
        <w:t>College of Engineering and Computer Science</w:t>
      </w:r>
    </w:p>
    <w:p w14:paraId="614BC931" w14:textId="64B03E80" w:rsidR="000421CA" w:rsidRDefault="000421CA" w:rsidP="000421CA">
      <w:pPr>
        <w:spacing w:after="240"/>
      </w:pPr>
    </w:p>
    <w:p w14:paraId="41F168DE" w14:textId="77777777" w:rsidR="000421CA" w:rsidRDefault="000421CA" w:rsidP="000421CA">
      <w:pPr>
        <w:spacing w:after="0"/>
      </w:pPr>
      <w:r>
        <w:rPr>
          <w:sz w:val="24"/>
        </w:rPr>
        <w:t>Kastle Lab presentations</w:t>
      </w:r>
    </w:p>
    <w:p w14:paraId="6550E955" w14:textId="6296DB76" w:rsidR="000421CA" w:rsidRDefault="000421CA" w:rsidP="000421CA">
      <w:pPr>
        <w:spacing w:after="0"/>
      </w:pPr>
      <w:r>
        <w:rPr>
          <w:sz w:val="24"/>
        </w:rPr>
        <w:t>Ellis, Alexis Lee</w:t>
      </w:r>
    </w:p>
    <w:p w14:paraId="6C14562A" w14:textId="506E1B4D" w:rsidR="000421CA" w:rsidRDefault="000421CA" w:rsidP="000421CA">
      <w:pPr>
        <w:spacing w:after="240"/>
      </w:pPr>
      <w:r>
        <w:rPr>
          <w:sz w:val="24"/>
        </w:rPr>
        <w:t>Mentor: Shimizu, Cogan</w:t>
      </w:r>
    </w:p>
    <w:p w14:paraId="633A85DD" w14:textId="3B53E668" w:rsidR="000421CA" w:rsidRDefault="000421CA" w:rsidP="000421CA">
      <w:pPr>
        <w:spacing w:after="480"/>
      </w:pPr>
      <w:r>
        <w:t xml:space="preserve">The Knowledge and Semantic Technologies (KASTLE) Laboratory was founded in 2022 at Wright State University by Dr. Cogan Shimizu. At this </w:t>
      </w:r>
      <w:proofErr w:type="spellStart"/>
      <w:proofErr w:type="gramStart"/>
      <w:r>
        <w:t>years</w:t>
      </w:r>
      <w:proofErr w:type="spellEnd"/>
      <w:proofErr w:type="gramEnd"/>
      <w:r>
        <w:t xml:space="preserve"> celebration of </w:t>
      </w:r>
      <w:proofErr w:type="gramStart"/>
      <w:r>
        <w:t>research  we</w:t>
      </w:r>
      <w:proofErr w:type="gramEnd"/>
      <w:r>
        <w:t xml:space="preserve"> will be talking about the individual research initiatives that are </w:t>
      </w:r>
      <w:proofErr w:type="spellStart"/>
      <w:r>
        <w:t>on going</w:t>
      </w:r>
      <w:proofErr w:type="spellEnd"/>
      <w:r>
        <w:t xml:space="preserve"> in our lab space. The goal is to not only get the </w:t>
      </w:r>
      <w:r w:rsidR="00937F11">
        <w:t>individual</w:t>
      </w:r>
      <w:r>
        <w:t xml:space="preserve"> </w:t>
      </w:r>
      <w:r w:rsidR="00937F11">
        <w:t>research</w:t>
      </w:r>
      <w:r>
        <w:t xml:space="preserve"> out to the community but also look from prospecting students! KASTLE Lab’s mission is to (1) develop fundamental advances in knowledge engineering, especially as they pertain to knowledge graphs and including the development of relevant cyberinfrastructure; (2) explore the intersection between knowledge engineering, domain science, and machine/deep learning for the purpose of accelerating science and promoting data discovery and transdisciplinary research; (3) understand the bridge between human-conceptualization and machine-encoding to better align and design AI systems; and (4) advance the state of open curriculum in knowledge engineering and semantic technologies. We hope that our involvement this year will introduce Knowledge engineering and foster collaborations.</w:t>
      </w:r>
    </w:p>
    <w:p w14:paraId="572E4BD2" w14:textId="77777777" w:rsidR="000421CA" w:rsidRDefault="000421CA" w:rsidP="000421CA">
      <w:r>
        <w:br w:type="page"/>
      </w:r>
    </w:p>
    <w:p w14:paraId="261F9DA5" w14:textId="4AFB53DB" w:rsidR="000421CA" w:rsidRDefault="00004C7D" w:rsidP="000421CA">
      <w:pPr>
        <w:spacing w:after="0"/>
      </w:pPr>
      <w:r>
        <w:rPr>
          <w:sz w:val="24"/>
        </w:rPr>
        <w:lastRenderedPageBreak/>
        <w:t>College of Science and Mathematics</w:t>
      </w:r>
    </w:p>
    <w:p w14:paraId="25EF7B11" w14:textId="01A55FD4" w:rsidR="000421CA" w:rsidRDefault="000421CA" w:rsidP="000421CA">
      <w:pPr>
        <w:spacing w:after="240"/>
      </w:pPr>
    </w:p>
    <w:p w14:paraId="0F282B1C" w14:textId="77777777" w:rsidR="000421CA" w:rsidRDefault="000421CA" w:rsidP="000421CA">
      <w:pPr>
        <w:spacing w:after="0"/>
      </w:pPr>
      <w:r>
        <w:rPr>
          <w:sz w:val="24"/>
        </w:rPr>
        <w:t>Correlated Color Temperature, Spectrum and Flow States</w:t>
      </w:r>
    </w:p>
    <w:p w14:paraId="130A9057" w14:textId="45E847AA" w:rsidR="000421CA" w:rsidRDefault="000421CA" w:rsidP="000421CA">
      <w:pPr>
        <w:spacing w:after="0"/>
      </w:pPr>
      <w:r>
        <w:rPr>
          <w:sz w:val="24"/>
        </w:rPr>
        <w:t>Fauley, Tim</w:t>
      </w:r>
    </w:p>
    <w:p w14:paraId="175011CE" w14:textId="7B1221BE" w:rsidR="000421CA" w:rsidRDefault="000421CA" w:rsidP="000421CA">
      <w:pPr>
        <w:spacing w:after="240"/>
      </w:pPr>
      <w:r>
        <w:rPr>
          <w:sz w:val="24"/>
        </w:rPr>
        <w:t>Mentor: Romine, William</w:t>
      </w:r>
    </w:p>
    <w:p w14:paraId="75C7C826" w14:textId="77777777" w:rsidR="000421CA" w:rsidRDefault="000421CA" w:rsidP="000421CA">
      <w:pPr>
        <w:spacing w:after="480"/>
      </w:pPr>
      <w:r>
        <w:t>Flow has been shown to enhance performance but research on the predictors of flow is limited. A promising environmental factor is lighting, specifically color temperature and spectrum. We examined cool and warm light to determine if participants are able to more easily achieve deeper states of flow in those lighting conditions. We tested whether participants achieve greater flow under different lighting conditions (warm 2500\,K, ambient 3000\,K, and cool 6500\,K light) while monitoring biological markers including heart rate and heart rate variability. The biological markers were then analyzed to determine the involvement of the sympathetic nervous system and correlated with the participants' responses on the Flow State Scale and Karolinska Sleepiness Scale.</w:t>
      </w:r>
    </w:p>
    <w:p w14:paraId="0C56627A" w14:textId="77777777" w:rsidR="000421CA" w:rsidRDefault="000421CA" w:rsidP="000421CA">
      <w:r>
        <w:br w:type="page"/>
      </w:r>
    </w:p>
    <w:p w14:paraId="690CA1C8" w14:textId="69E85811" w:rsidR="000421CA" w:rsidRDefault="00004C7D" w:rsidP="000421CA">
      <w:pPr>
        <w:spacing w:after="0"/>
      </w:pPr>
      <w:r>
        <w:rPr>
          <w:sz w:val="24"/>
        </w:rPr>
        <w:lastRenderedPageBreak/>
        <w:t>College of Liberal Arts</w:t>
      </w:r>
    </w:p>
    <w:p w14:paraId="24A77017" w14:textId="59C706EB" w:rsidR="000421CA" w:rsidRDefault="000421CA" w:rsidP="000421CA">
      <w:pPr>
        <w:spacing w:after="240"/>
      </w:pPr>
    </w:p>
    <w:p w14:paraId="4F49A907" w14:textId="77777777" w:rsidR="000421CA" w:rsidRDefault="000421CA" w:rsidP="000421CA">
      <w:pPr>
        <w:spacing w:after="0"/>
      </w:pPr>
      <w:r>
        <w:rPr>
          <w:sz w:val="24"/>
        </w:rPr>
        <w:t>Concentration and Confinement: British Detention Centers and Internment Camps during the Palestinian Revolt of 1936-1939</w:t>
      </w:r>
    </w:p>
    <w:p w14:paraId="57E64948" w14:textId="5C050C3C" w:rsidR="000421CA" w:rsidRDefault="000421CA" w:rsidP="000421CA">
      <w:pPr>
        <w:spacing w:after="0"/>
      </w:pPr>
      <w:r>
        <w:rPr>
          <w:sz w:val="24"/>
        </w:rPr>
        <w:t>Ferraro, John Timothy</w:t>
      </w:r>
    </w:p>
    <w:p w14:paraId="389643E5" w14:textId="48B33403" w:rsidR="000421CA" w:rsidRDefault="000421CA" w:rsidP="000421CA">
      <w:pPr>
        <w:spacing w:after="240"/>
      </w:pPr>
      <w:r>
        <w:rPr>
          <w:sz w:val="24"/>
        </w:rPr>
        <w:t>Mentor: Halabi, Awad</w:t>
      </w:r>
    </w:p>
    <w:p w14:paraId="77B781E1" w14:textId="77777777" w:rsidR="000421CA" w:rsidRDefault="000421CA" w:rsidP="000421CA">
      <w:pPr>
        <w:spacing w:after="480"/>
      </w:pPr>
      <w:r>
        <w:t>Detention and internment, both internal or external, were instrumental elements of the multifaceted British response to the general strike and outbreak of revolt in Mandatory Palestine in 1936, continuing as policy through 1939. During this period, some 264,000 Palestinians were officially detained by British security forces in different capacities for varying periods of time, with some estimates including documented cases of unofficial detentions placing the number as high as 500,000. This poster highlights the continuity of British "Imperial Policing" doctrine and strategy in the early twentieth century, while focusing on its application in Palestine on the eve of the Second World War. The focus of the poster is to examine how detention and interment, in their various forms, were legally sanctioned by emergency regulations and used by British security forces as a means of population control and counterinsurgency.</w:t>
      </w:r>
    </w:p>
    <w:p w14:paraId="55FE7ED6" w14:textId="77777777" w:rsidR="000421CA" w:rsidRDefault="000421CA" w:rsidP="000421CA">
      <w:r>
        <w:br w:type="page"/>
      </w:r>
    </w:p>
    <w:p w14:paraId="1F54B960" w14:textId="204C4068" w:rsidR="000421CA" w:rsidRDefault="00441698" w:rsidP="000421CA">
      <w:pPr>
        <w:spacing w:after="0"/>
      </w:pPr>
      <w:r>
        <w:rPr>
          <w:sz w:val="24"/>
        </w:rPr>
        <w:lastRenderedPageBreak/>
        <w:t>Boonshoft School of Medicine</w:t>
      </w:r>
    </w:p>
    <w:p w14:paraId="1058655B" w14:textId="124A84D6" w:rsidR="000421CA" w:rsidRDefault="000421CA" w:rsidP="000421CA">
      <w:pPr>
        <w:spacing w:after="240"/>
      </w:pPr>
    </w:p>
    <w:p w14:paraId="4E60B099" w14:textId="77777777" w:rsidR="000421CA" w:rsidRDefault="000421CA" w:rsidP="000421CA">
      <w:pPr>
        <w:spacing w:after="0"/>
      </w:pPr>
      <w:r>
        <w:rPr>
          <w:sz w:val="24"/>
        </w:rPr>
        <w:t>Safety and efficiency of SGLT2 inhibitors in management of Heart Failure</w:t>
      </w:r>
    </w:p>
    <w:p w14:paraId="6E63BAB7" w14:textId="5486AA3B" w:rsidR="000421CA" w:rsidRDefault="000421CA" w:rsidP="000421CA">
      <w:pPr>
        <w:spacing w:after="0"/>
      </w:pPr>
      <w:r>
        <w:rPr>
          <w:sz w:val="24"/>
        </w:rPr>
        <w:t>Garimilla, Pravalika</w:t>
      </w:r>
    </w:p>
    <w:p w14:paraId="02FEF638" w14:textId="4D3D8ED9" w:rsidR="000421CA" w:rsidRDefault="000421CA" w:rsidP="000421CA">
      <w:pPr>
        <w:spacing w:after="240"/>
      </w:pPr>
      <w:r>
        <w:rPr>
          <w:sz w:val="24"/>
        </w:rPr>
        <w:t xml:space="preserve">Mentor: </w:t>
      </w:r>
      <w:proofErr w:type="spellStart"/>
      <w:r>
        <w:rPr>
          <w:sz w:val="24"/>
        </w:rPr>
        <w:t>Elased</w:t>
      </w:r>
      <w:proofErr w:type="spellEnd"/>
      <w:r>
        <w:rPr>
          <w:sz w:val="24"/>
        </w:rPr>
        <w:t>, Khalid</w:t>
      </w:r>
    </w:p>
    <w:p w14:paraId="0A387FDD" w14:textId="77777777" w:rsidR="000421CA" w:rsidRDefault="000421CA" w:rsidP="000421CA">
      <w:pPr>
        <w:spacing w:after="480"/>
      </w:pPr>
      <w:r>
        <w:t xml:space="preserve">Sodium glucose cotransporter-2 (SGLT2) inhibitors were originally developed for type 2 diabetes mellitus but have emerged as fundamental therapy for heart failure. With increasing prevalence due to aging populations, ischemic heart disease, hypertension, diabetes, and obesity, heart failure remains a major global health challenge. The pathophysiology involves complex hormonal, inflammatory, and structural changes that impair cardiac function and promote adverse ventricular remodeling. Landmark trials have demonstrated substantial benefits across the ejection fraction spectrum, irrespective of diabetes status. DAPA-HF (Dapagliflozin and Prevention of Adverse-Outcomes in Heart Failure) randomized 4,744 patients with heart failure and reduced ejection fraction (LVEF ≤40%), showing dapagliflozin reduced the composite primary outcome of cardiovascular death or worsening heart failure by 26% (HR 0.74, 95% CI 0.65-0.85) compared to placebo. EMPEROR-Reduced (Empagliflozin Outcome Trial in Patients with Chronic Heart Failure with Reduced Ejection Fraction) enrolled 3,730 patients with LVEF ≤40% and demonstrated a 25% reduction in cardiovascular death or heart failure hospitalization (HR 0.75, 95% CI 0.65-0.86), with benefits evident within 12 days of treatment initiation. EMPEROR-Preserved studied 5,988 patients with LVEF &gt;40% and showed empagliflozin reduced cardiovascular death or heart failure hospitalization by 21% (HR 0.79, 95% CI 0.69-0.90), establishing efficacy in preserved ejection fraction heart failure. [5-6] The cardiovascular benefits stem from multiple mechanisms including improved sodium and water handling, enhanced myocardial energy metabolism, anti-inflammatory properties, and inhibition of adverse cardiac remodeling. Meta-analyses of these trials demonstrated a 13% reduction in all-cause mortality and 14% reduction in cardiovascular death. These agents consistently reduced intensive care admissions, need for intravenous therapies, and diuretic intensification while improving functional class and quality of life across all trials. In </w:t>
      </w:r>
      <w:proofErr w:type="spellStart"/>
      <w:r>
        <w:t>summary,with</w:t>
      </w:r>
      <w:proofErr w:type="spellEnd"/>
      <w:r>
        <w:t xml:space="preserve"> their favorable safety profile and proven efficacy regardless of diabetes status or ejection fraction, SGLT2 inhibitors have become essential components of guideline-directed medical therapy for heart failure.</w:t>
      </w:r>
    </w:p>
    <w:p w14:paraId="348DF9A2" w14:textId="77777777" w:rsidR="000421CA" w:rsidRDefault="000421CA" w:rsidP="000421CA">
      <w:r>
        <w:br w:type="page"/>
      </w:r>
    </w:p>
    <w:p w14:paraId="45AE9D19" w14:textId="0FCFC974" w:rsidR="000421CA" w:rsidRDefault="00441698" w:rsidP="000421CA">
      <w:pPr>
        <w:spacing w:after="0"/>
      </w:pPr>
      <w:r>
        <w:rPr>
          <w:sz w:val="24"/>
        </w:rPr>
        <w:lastRenderedPageBreak/>
        <w:t>Boonshoft School of Medicine</w:t>
      </w:r>
    </w:p>
    <w:p w14:paraId="56CDB032" w14:textId="592D0977" w:rsidR="000421CA" w:rsidRDefault="000421CA" w:rsidP="000421CA">
      <w:pPr>
        <w:spacing w:after="240"/>
      </w:pPr>
    </w:p>
    <w:p w14:paraId="484F2747" w14:textId="77777777" w:rsidR="000421CA" w:rsidRDefault="000421CA" w:rsidP="000421CA">
      <w:pPr>
        <w:spacing w:after="0"/>
      </w:pPr>
      <w:r>
        <w:rPr>
          <w:sz w:val="24"/>
        </w:rPr>
        <w:t>How Social Media Impacts Mental Health: Risks, Benefits</w:t>
      </w:r>
    </w:p>
    <w:p w14:paraId="1FA2A8C9" w14:textId="66C198E1" w:rsidR="000421CA" w:rsidRDefault="000421CA" w:rsidP="000421CA">
      <w:pPr>
        <w:spacing w:after="0"/>
      </w:pPr>
      <w:proofErr w:type="spellStart"/>
      <w:r>
        <w:rPr>
          <w:sz w:val="24"/>
        </w:rPr>
        <w:t>Garvandhula</w:t>
      </w:r>
      <w:proofErr w:type="spellEnd"/>
      <w:r>
        <w:rPr>
          <w:sz w:val="24"/>
        </w:rPr>
        <w:t>, Anusha</w:t>
      </w:r>
    </w:p>
    <w:p w14:paraId="3E31E044" w14:textId="2C12E561" w:rsidR="000421CA" w:rsidRDefault="000421CA" w:rsidP="000421CA">
      <w:pPr>
        <w:spacing w:after="240"/>
      </w:pPr>
      <w:r>
        <w:rPr>
          <w:sz w:val="24"/>
        </w:rPr>
        <w:t>Mentor: Oroszi, Terry</w:t>
      </w:r>
    </w:p>
    <w:p w14:paraId="1A7561DA" w14:textId="77777777" w:rsidR="000421CA" w:rsidRDefault="000421CA" w:rsidP="000421CA">
      <w:pPr>
        <w:spacing w:after="480"/>
      </w:pPr>
      <w:r>
        <w:t>Background: Social media (SM) is ubiquitous among adolescents, with evidence showing a complex duality of psychiatric risks and psychosocial benefits. Current research suggests that the nature of engagement, rather than aggregate screen time, is the primary determinant of mental health outcomes. ​Objective: To synthesize the existing evidence on SM-related mental health effects and propose a research-informed harm-reduction framework for youth and adults. ​Methods: This scoping review analyzed peer-reviewed literature (2014–2026), prioritizing meta-analyses, longitudinal datasets, and randomized controlled trials. Analysis focused on sleep hygiene, cyberbullying, body image, and the efficacy of digital phenotyping in early risk detection. ​Results: High-volume and pre-bedtime SM use are strongly correlated with social jetlag and poor sleep quality, serving as a primary pathway to mood disorders. While average correlations between total time spent online and mental health are marginal, effect sizes increase significantly in subgroups experiencing cyberbullying, extreme social comparison, or disordered eating. Protective factors include high media literacy and strong family connectedness. Conversely, SM serves as a critical tool for social support and, through consent-based language and imagery analysis, offers a platform for the early detection of depressive indicators. ​Conclusions: Effective mitigation requires a shift from total abstinence to a harm-reduction strategy. This includes protecting sleep cycles, developing misinformation literacy, and implementing ethical, explainable AI for risk detection. Future research must standardize exposure metrics and prioritize equity in digital mental health interventions. ​Keywords: Social media; Mental health; Adolescents; Sleep disturbance; Cyberbullying; Body image; Anxiety and depression</w:t>
      </w:r>
    </w:p>
    <w:p w14:paraId="2437B72C" w14:textId="77777777" w:rsidR="000421CA" w:rsidRDefault="000421CA" w:rsidP="000421CA">
      <w:r>
        <w:br w:type="page"/>
      </w:r>
    </w:p>
    <w:p w14:paraId="087AD7B3" w14:textId="330224DC" w:rsidR="000421CA" w:rsidRDefault="00441698" w:rsidP="000421CA">
      <w:pPr>
        <w:spacing w:after="0"/>
      </w:pPr>
      <w:r>
        <w:rPr>
          <w:sz w:val="24"/>
        </w:rPr>
        <w:lastRenderedPageBreak/>
        <w:t>Boonshoft School of Medicine</w:t>
      </w:r>
    </w:p>
    <w:p w14:paraId="6BB190CB" w14:textId="1CFDDB61" w:rsidR="000421CA" w:rsidRDefault="000421CA" w:rsidP="000421CA">
      <w:pPr>
        <w:spacing w:after="240"/>
      </w:pPr>
    </w:p>
    <w:p w14:paraId="7D715A9D" w14:textId="77777777" w:rsidR="000421CA" w:rsidRDefault="000421CA" w:rsidP="000421CA">
      <w:pPr>
        <w:spacing w:after="0"/>
      </w:pPr>
      <w:r>
        <w:rPr>
          <w:sz w:val="24"/>
        </w:rPr>
        <w:t>Telomere maintenance in dyskeratosis congenita</w:t>
      </w:r>
    </w:p>
    <w:p w14:paraId="00AE2DC7" w14:textId="3D40333D" w:rsidR="000421CA" w:rsidRDefault="000421CA" w:rsidP="000421CA">
      <w:pPr>
        <w:spacing w:after="0"/>
      </w:pPr>
      <w:r>
        <w:rPr>
          <w:sz w:val="24"/>
        </w:rPr>
        <w:t>Gattu, Sravya</w:t>
      </w:r>
    </w:p>
    <w:p w14:paraId="351EDE9F" w14:textId="62FA8599" w:rsidR="000421CA" w:rsidRDefault="000421CA" w:rsidP="000421CA">
      <w:pPr>
        <w:spacing w:after="240"/>
      </w:pPr>
      <w:r>
        <w:rPr>
          <w:sz w:val="24"/>
        </w:rPr>
        <w:t xml:space="preserve">Mentor: Xu, Yong </w:t>
      </w:r>
      <w:proofErr w:type="spellStart"/>
      <w:r>
        <w:rPr>
          <w:sz w:val="24"/>
        </w:rPr>
        <w:t>jie</w:t>
      </w:r>
      <w:proofErr w:type="spellEnd"/>
    </w:p>
    <w:p w14:paraId="7C4F3D7F" w14:textId="77777777" w:rsidR="000421CA" w:rsidRDefault="000421CA" w:rsidP="000421CA">
      <w:pPr>
        <w:spacing w:after="480"/>
      </w:pPr>
      <w:r>
        <w:t xml:space="preserve">The telomeres are composed of DNA-protein complexes that cap the chromosome ends, protecting them from degradation, end-to-end fusion, and erroneous DNA damage responses. The maintenance of telomere length is ensured by the </w:t>
      </w:r>
      <w:proofErr w:type="spellStart"/>
      <w:r>
        <w:t>shelterin</w:t>
      </w:r>
      <w:proofErr w:type="spellEnd"/>
      <w:r>
        <w:t xml:space="preserve"> protein complex and telomerase components such as TERT and TERC. Dyskeratosis congenita (DC) is an ultra-rare genetic telomere disorder due to telomere-maintenance gene mutation, leading to critically low telomeres and early cellular senescence. The clinical manifestations of DC include the classic mucocutaneous symptoms of nail dystrophy, leukoplakia of the buccal mucosa, and skin pigmentation, along with systemic complications of bone marrow failure and progressive tissue atrophy. The present review describes telomere maintenance mechanisms at the molecular level, compares clinical outcomes of telomere short vs. telomere length, while underlining DC telomere disorders at the pathophysiological front. The present review also underlines novel telomere-maintenance therapies such as telomerase reactivation or telomere stabilization by using androgen therapies (e.g., Danazol) or sirtuin modulators (specifically targeting SIRT6 pathways) for telomere disorders, along with stem cell-regenerative therapies using induced pluripotent stem cells for telomere disorders. The present review of telomere mechanisms in DC provides fundamental concepts to cellular aging, stem cell exhaustion, and novel targeting therapies for telomere disorders.</w:t>
      </w:r>
    </w:p>
    <w:p w14:paraId="06F71E46" w14:textId="77777777" w:rsidR="000421CA" w:rsidRDefault="000421CA" w:rsidP="000421CA">
      <w:r>
        <w:br w:type="page"/>
      </w:r>
    </w:p>
    <w:p w14:paraId="51511927" w14:textId="1B00E11C" w:rsidR="000421CA" w:rsidRDefault="00004C7D" w:rsidP="000421CA">
      <w:pPr>
        <w:spacing w:after="0"/>
      </w:pPr>
      <w:r>
        <w:rPr>
          <w:sz w:val="24"/>
        </w:rPr>
        <w:lastRenderedPageBreak/>
        <w:t>College of Science and Mathematics</w:t>
      </w:r>
    </w:p>
    <w:p w14:paraId="2F3ED013" w14:textId="12306019" w:rsidR="000421CA" w:rsidRDefault="000421CA" w:rsidP="000421CA">
      <w:pPr>
        <w:spacing w:after="240"/>
      </w:pPr>
    </w:p>
    <w:p w14:paraId="6AD15436" w14:textId="77777777" w:rsidR="000421CA" w:rsidRDefault="000421CA" w:rsidP="000421CA">
      <w:pPr>
        <w:spacing w:after="0"/>
      </w:pPr>
      <w:r>
        <w:rPr>
          <w:sz w:val="24"/>
        </w:rPr>
        <w:t xml:space="preserve">Drop wise Fluoride Delivery Reveals Hidden Kinetics in Potentiometric Precipitation Titrations: Rethinking Pre nucleation Signatures in </w:t>
      </w:r>
      <w:proofErr w:type="spellStart"/>
      <w:r>
        <w:rPr>
          <w:sz w:val="24"/>
        </w:rPr>
        <w:t>CaF</w:t>
      </w:r>
      <w:proofErr w:type="spellEnd"/>
      <w:r>
        <w:rPr>
          <w:sz w:val="24"/>
        </w:rPr>
        <w:t>₂ Systems</w:t>
      </w:r>
    </w:p>
    <w:p w14:paraId="7B98972C" w14:textId="77777777" w:rsidR="000421CA" w:rsidRDefault="000421CA" w:rsidP="000421CA">
      <w:pPr>
        <w:spacing w:after="0"/>
      </w:pPr>
      <w:r>
        <w:rPr>
          <w:sz w:val="24"/>
        </w:rPr>
        <w:t xml:space="preserve"> Gay, Avianna Christine</w:t>
      </w:r>
    </w:p>
    <w:p w14:paraId="27EC610E" w14:textId="77777777" w:rsidR="000421CA" w:rsidRDefault="000421CA" w:rsidP="000421CA">
      <w:pPr>
        <w:spacing w:after="240"/>
      </w:pPr>
      <w:r>
        <w:rPr>
          <w:sz w:val="24"/>
        </w:rPr>
        <w:t xml:space="preserve"> Mentor: Higgins, Steven</w:t>
      </w:r>
    </w:p>
    <w:p w14:paraId="3254297B" w14:textId="77777777" w:rsidR="000421CA" w:rsidRDefault="000421CA" w:rsidP="000421CA">
      <w:pPr>
        <w:spacing w:after="480"/>
      </w:pPr>
      <w:r>
        <w:t xml:space="preserve">Potentiometric precipitation titrations are widely used to probe nucleation mechanisms, yet their interpretation relies on the assumption that titrant is introduced into a fully mixed environment. In this work, an inadvertent deviation from our group’s established method—introducing </w:t>
      </w:r>
      <w:proofErr w:type="spellStart"/>
      <w:r>
        <w:t>NaF</w:t>
      </w:r>
      <w:proofErr w:type="spellEnd"/>
      <w:r>
        <w:t xml:space="preserve"> titrant dropwise above the solution surface rather than submerging the delivery tube—produced an unexpected advantage: discrete, time-resolved perturbations in the fluoride ion-selective electrode (F–ISE) signal. These regularly spaced concentration pulses allowed calculation of </w:t>
      </w:r>
      <w:proofErr w:type="spellStart"/>
      <w:r>
        <w:t>dE</w:t>
      </w:r>
      <w:proofErr w:type="spellEnd"/>
      <w:r>
        <w:t xml:space="preserve">/dt between drops, revealing a previously unresolved transition in the fluoride activity profile. Negative slopes indicated sustained release of free F⁻ into solution, while positive slopes signaled its rapid consumption. A narrow inflection window marks the onset of autocatalytic </w:t>
      </w:r>
      <w:proofErr w:type="spellStart"/>
      <w:r>
        <w:t>CaF</w:t>
      </w:r>
      <w:proofErr w:type="spellEnd"/>
      <w:r>
        <w:t>₂ growth, a feature that is masked entirely under standard continuous flow or submerged tip titration protocols.   These findings challenge conventional interpretations of potentiometric titration curves, particularly those invoking prenucleation clusters (PNCs) as proposed by others—by demonstrating that signal features often attributed to PNC formation can instead arise from titrant delivery geometry, mixing kinetics, and transient ion depletion zones. When integrated with our group’s broader investigations of Ca²⁺–F⁻ speciation using stopped flow measurements, this alternate titrant delivery method reveals mechanistic inconsistencies in the standard model of precipitation titrations and strengthens the case for continuous nucleation in conjunction with auto-catalytic growth over a stable PNC-driven pathway.</w:t>
      </w:r>
    </w:p>
    <w:p w14:paraId="61C833E4" w14:textId="77777777" w:rsidR="000421CA" w:rsidRDefault="000421CA" w:rsidP="000421CA">
      <w:r>
        <w:br w:type="page"/>
      </w:r>
    </w:p>
    <w:p w14:paraId="587B945C" w14:textId="2AF7CD45" w:rsidR="000421CA" w:rsidRDefault="00004C7D" w:rsidP="000421CA">
      <w:pPr>
        <w:spacing w:after="0"/>
      </w:pPr>
      <w:r>
        <w:rPr>
          <w:sz w:val="24"/>
        </w:rPr>
        <w:lastRenderedPageBreak/>
        <w:t>College of Science and Mathematics</w:t>
      </w:r>
    </w:p>
    <w:p w14:paraId="17F761CB" w14:textId="38A7B71D" w:rsidR="000421CA" w:rsidRDefault="000421CA" w:rsidP="000421CA">
      <w:pPr>
        <w:spacing w:after="240"/>
      </w:pPr>
    </w:p>
    <w:p w14:paraId="3639E576" w14:textId="77777777" w:rsidR="000421CA" w:rsidRDefault="000421CA" w:rsidP="000421CA">
      <w:pPr>
        <w:spacing w:after="0"/>
      </w:pPr>
      <w:r>
        <w:rPr>
          <w:sz w:val="24"/>
        </w:rPr>
        <w:t>The impacts of pollinator habitat size and agricultural practices on pollinator diversity and crop success.</w:t>
      </w:r>
    </w:p>
    <w:p w14:paraId="6624B91B" w14:textId="04E4D528" w:rsidR="000421CA" w:rsidRDefault="000421CA" w:rsidP="000421CA">
      <w:pPr>
        <w:spacing w:after="0"/>
      </w:pPr>
      <w:proofErr w:type="spellStart"/>
      <w:r>
        <w:rPr>
          <w:sz w:val="24"/>
        </w:rPr>
        <w:t>Gelske</w:t>
      </w:r>
      <w:proofErr w:type="spellEnd"/>
      <w:r>
        <w:rPr>
          <w:sz w:val="24"/>
        </w:rPr>
        <w:t>, Emily Lynn</w:t>
      </w:r>
    </w:p>
    <w:p w14:paraId="29DE2776" w14:textId="59D20ECF" w:rsidR="000421CA" w:rsidRDefault="000421CA" w:rsidP="000421CA">
      <w:pPr>
        <w:spacing w:after="240"/>
      </w:pPr>
      <w:r>
        <w:rPr>
          <w:sz w:val="24"/>
        </w:rPr>
        <w:t>Mentor: Cipollini, Don</w:t>
      </w:r>
    </w:p>
    <w:p w14:paraId="4A9CADDD" w14:textId="77777777" w:rsidR="000421CA" w:rsidRDefault="000421CA" w:rsidP="000421CA">
      <w:pPr>
        <w:spacing w:after="480"/>
      </w:pPr>
      <w:r>
        <w:t>Pollinators are important not only for biodiversity, but also for human food production and are responsible for $235-577 billion worth of services each year. Many factors, including climate change and agricultural practices, are major contributors to pollinator and biodiversity declines. Some of the agricultural practices intended to increase success, such as pesticide application, may negatively impact agriculture, as pollinators necessary for growth are harmed. The biological services occurring in adjacent lands may also impact agricultural success, as these services can spill over into the agricultural fields. This is explained by the exporter (pollinator habitats spillover onto adjacent habitats) and the concentrator (pollinator habitats pull pollinators away from adjacent habitats) hypotheses. The objectives of this study are to understand how human agricultural practices impact biodiversity and how we can simultaneously improve biodiversity and agricultural outcomes. To do this, we investigate how the sizes of pollinator habitats and insecticide use influence (1) biodiversity between pollinator habitats and crops, (2) pollinator communities visiting crops, and (3) agricultural success. Fruit size, seed production and yield are used as proxy measurements for agricultural success. This is done through the placement of potted Cucumis sativus (</w:t>
      </w:r>
      <w:proofErr w:type="spellStart"/>
      <w:r>
        <w:t>spacemaster</w:t>
      </w:r>
      <w:proofErr w:type="spellEnd"/>
      <w:r>
        <w:t xml:space="preserve"> cucumbers) next to prairies of various sizes in the Miami Valley, coupled with insecticide treatments. C. sativus plants are grown in a greenhouse until ready for pollination, moved into the field sites for pollination exposure, then returned to the greenhouse to mature. Lambda-cyhalothrin (a common insecticide used on squash plants) is applied regularly to treatment plants throughout the growth period. Prairie size is classified as large (&gt;5 acres) or small (</w:t>
      </w:r>
    </w:p>
    <w:p w14:paraId="77C6C283" w14:textId="77777777" w:rsidR="000421CA" w:rsidRDefault="000421CA" w:rsidP="000421CA">
      <w:r>
        <w:br w:type="page"/>
      </w:r>
    </w:p>
    <w:p w14:paraId="1F210385" w14:textId="205E720A" w:rsidR="000421CA" w:rsidRDefault="00E533E4" w:rsidP="000421CA">
      <w:pPr>
        <w:spacing w:after="0"/>
      </w:pPr>
      <w:r>
        <w:rPr>
          <w:sz w:val="24"/>
        </w:rPr>
        <w:lastRenderedPageBreak/>
        <w:t>College of Health, Education, and Human Services</w:t>
      </w:r>
    </w:p>
    <w:p w14:paraId="5090B665" w14:textId="79085BB5" w:rsidR="000421CA" w:rsidRDefault="000421CA" w:rsidP="000421CA">
      <w:pPr>
        <w:spacing w:after="240"/>
      </w:pPr>
    </w:p>
    <w:p w14:paraId="7D8B46C2" w14:textId="77777777" w:rsidR="000421CA" w:rsidRDefault="000421CA" w:rsidP="000421CA">
      <w:pPr>
        <w:spacing w:after="0"/>
      </w:pPr>
      <w:r>
        <w:rPr>
          <w:sz w:val="24"/>
        </w:rPr>
        <w:t>A quantitative analysis of registered apprenticeships as engines of economic mobility and labor market stability in the United States</w:t>
      </w:r>
    </w:p>
    <w:p w14:paraId="63266913" w14:textId="23EE12D8" w:rsidR="000421CA" w:rsidRDefault="000421CA" w:rsidP="000421CA">
      <w:pPr>
        <w:spacing w:after="0"/>
      </w:pPr>
      <w:proofErr w:type="spellStart"/>
      <w:r>
        <w:rPr>
          <w:sz w:val="24"/>
        </w:rPr>
        <w:t>Generas</w:t>
      </w:r>
      <w:proofErr w:type="spellEnd"/>
      <w:r>
        <w:rPr>
          <w:sz w:val="24"/>
        </w:rPr>
        <w:t>, Elizabeth Anne</w:t>
      </w:r>
    </w:p>
    <w:p w14:paraId="5399ED9F" w14:textId="7F55B438" w:rsidR="000421CA" w:rsidRDefault="000421CA" w:rsidP="000421CA">
      <w:pPr>
        <w:spacing w:after="240"/>
      </w:pPr>
      <w:r>
        <w:rPr>
          <w:sz w:val="24"/>
        </w:rPr>
        <w:t>Mentor: Miura, Yoko</w:t>
      </w:r>
    </w:p>
    <w:p w14:paraId="533DBFEE" w14:textId="77777777" w:rsidR="000421CA" w:rsidRDefault="000421CA" w:rsidP="000421CA">
      <w:pPr>
        <w:spacing w:after="480"/>
      </w:pPr>
      <w:r>
        <w:t xml:space="preserve">The United States (U.S.) faces a compounding workforce crisis driven by an aging population, declining birth rates, and persistent socioeconomic disparities that limit upward mobility for workers. Registered Apprenticeship Programs (RAPs), federally supported and employer-driven training pathways, represent a potential solution to both the skilled labor shortage and the challenge of economic mobility. Yet national-level research has remained limited. This study examined a decade of federal data (2014–2023) from the Registered Apprenticeship Partner Information Database System (RAPIDS), comprising over 5.5 million apprentice records, to assess how RAP participation and completion predict labor market outcomes across three levels of analysis: individual, occupation, and state. Grounded in supply and demand theory, human capital theory, and status attainment theory, three research questions were examined using binary logistic regression, multiple linear regression, and fixed effects regression. Findings indicate that wage growth is the strongest predictor of living wage attainment, while education and age are modest contributors; starting wages were a statistically significant positive predictor of industry apprenticeship participation, but occupational growth rate was not, and the participation model explained only 2% of the variance; and apprenticeship completions by state are associated with a statistically significant reduction in that state’s unemployment rates. These results suggest that RAPs function beyond job training, operating as drivers of socioeconomic mobility at the individual level and as labor market stabilizers at the state level. This research provides evidence of </w:t>
      </w:r>
      <w:proofErr w:type="spellStart"/>
      <w:r>
        <w:t>RAPs'</w:t>
      </w:r>
      <w:proofErr w:type="spellEnd"/>
      <w:r>
        <w:t xml:space="preserve"> importance in the U.S. and seeks to inform policymakers, employers, and workforce development practitioners seeking to expand apprenticeship pathways as a workforce strategy.</w:t>
      </w:r>
    </w:p>
    <w:p w14:paraId="02F8FF22" w14:textId="77777777" w:rsidR="000421CA" w:rsidRDefault="000421CA" w:rsidP="000421CA">
      <w:r>
        <w:br w:type="page"/>
      </w:r>
    </w:p>
    <w:p w14:paraId="25605D85" w14:textId="3A7EF570" w:rsidR="000421CA" w:rsidRDefault="00B537EA" w:rsidP="000421CA">
      <w:pPr>
        <w:spacing w:after="0"/>
      </w:pPr>
      <w:r>
        <w:rPr>
          <w:sz w:val="24"/>
        </w:rPr>
        <w:lastRenderedPageBreak/>
        <w:t>College of Engineering and Computer Science</w:t>
      </w:r>
    </w:p>
    <w:p w14:paraId="7CF08A90" w14:textId="1013D970" w:rsidR="000421CA" w:rsidRDefault="000421CA" w:rsidP="000421CA">
      <w:pPr>
        <w:spacing w:after="240"/>
      </w:pPr>
    </w:p>
    <w:p w14:paraId="39F71F46" w14:textId="77777777" w:rsidR="000421CA" w:rsidRDefault="000421CA" w:rsidP="000421CA">
      <w:pPr>
        <w:spacing w:after="0"/>
      </w:pPr>
      <w:r>
        <w:rPr>
          <w:sz w:val="24"/>
        </w:rPr>
        <w:t>Evaluating Prompt Engineering Strategies for Ontology-Based Question Answering</w:t>
      </w:r>
    </w:p>
    <w:p w14:paraId="58779BD7" w14:textId="4714831B" w:rsidR="000421CA" w:rsidRDefault="000421CA" w:rsidP="000421CA">
      <w:pPr>
        <w:spacing w:after="0"/>
      </w:pPr>
      <w:r>
        <w:rPr>
          <w:sz w:val="24"/>
        </w:rPr>
        <w:t>Ghiasi, Elham</w:t>
      </w:r>
    </w:p>
    <w:p w14:paraId="7FA27805" w14:textId="78F66A83" w:rsidR="000421CA" w:rsidRDefault="000421CA" w:rsidP="000421CA">
      <w:pPr>
        <w:spacing w:after="240"/>
      </w:pPr>
      <w:r>
        <w:rPr>
          <w:sz w:val="24"/>
        </w:rPr>
        <w:t>Mentor: Shimizu, Cogan</w:t>
      </w:r>
    </w:p>
    <w:p w14:paraId="16E34DC2" w14:textId="77777777" w:rsidR="000421CA" w:rsidRDefault="000421CA" w:rsidP="000421CA">
      <w:pPr>
        <w:spacing w:after="480"/>
      </w:pPr>
      <w:r>
        <w:t>Large Language Models (LLMs) have recently shown strong potential in answering questions over knowledge graphs, but generating correct SPARQL queries remains challenging. This research studies how different prompt engineering strategies affect the quality of SPARQL queries produced by GPT-4. Using a controlled Publication–Author–Agent–Department ontology in Apache Jena Fuseki, we compare zero-shot, few-shot, and chain-of-thought prompting. We evaluate the results based on query validity, execution success, semantic correctness, and standard metrics such as precision, recall, and F1. We also analyze common failure patterns in the generated queries. The results highlight clear differences between prompting methods and provide practical insights for building more reliable LLM-based knowledge graph question answering systems.</w:t>
      </w:r>
    </w:p>
    <w:p w14:paraId="292ABB35" w14:textId="77777777" w:rsidR="000421CA" w:rsidRDefault="000421CA" w:rsidP="000421CA">
      <w:r>
        <w:br w:type="page"/>
      </w:r>
    </w:p>
    <w:p w14:paraId="675CAEC7" w14:textId="41C741AA" w:rsidR="000421CA" w:rsidRDefault="00441698" w:rsidP="000421CA">
      <w:pPr>
        <w:spacing w:after="0"/>
      </w:pPr>
      <w:r>
        <w:rPr>
          <w:sz w:val="24"/>
        </w:rPr>
        <w:lastRenderedPageBreak/>
        <w:t>Boonshoft School of Medicine</w:t>
      </w:r>
    </w:p>
    <w:p w14:paraId="69A9EFEB" w14:textId="179E6AB6" w:rsidR="000421CA" w:rsidRDefault="000421CA" w:rsidP="000421CA">
      <w:pPr>
        <w:spacing w:after="240"/>
      </w:pPr>
    </w:p>
    <w:p w14:paraId="5C244F73" w14:textId="77777777" w:rsidR="000421CA" w:rsidRDefault="000421CA" w:rsidP="000421CA">
      <w:pPr>
        <w:spacing w:after="0"/>
      </w:pPr>
      <w:r>
        <w:rPr>
          <w:sz w:val="24"/>
        </w:rPr>
        <w:t>Lewy body-associated 14-3-3 proteins protect cells from alpha-synuclein cytotoxicity</w:t>
      </w:r>
    </w:p>
    <w:p w14:paraId="7808DB92" w14:textId="33659178" w:rsidR="000421CA" w:rsidRDefault="000421CA" w:rsidP="000421CA">
      <w:pPr>
        <w:spacing w:after="0"/>
      </w:pPr>
      <w:r>
        <w:rPr>
          <w:sz w:val="24"/>
        </w:rPr>
        <w:t>Gillespie, Breonna</w:t>
      </w:r>
    </w:p>
    <w:p w14:paraId="06DC665B" w14:textId="5A8A8A26" w:rsidR="000421CA" w:rsidRDefault="000421CA" w:rsidP="000421CA">
      <w:pPr>
        <w:spacing w:after="240"/>
      </w:pPr>
      <w:r>
        <w:rPr>
          <w:sz w:val="24"/>
        </w:rPr>
        <w:t>Mentor: Zhong, Quan</w:t>
      </w:r>
    </w:p>
    <w:p w14:paraId="504F5D57" w14:textId="77777777" w:rsidR="000421CA" w:rsidRDefault="000421CA" w:rsidP="000421CA">
      <w:pPr>
        <w:spacing w:after="480"/>
      </w:pPr>
      <w:r>
        <w:t>Parkinson’s disease (PD) is a progressive neurodegenerative disorder characterized by the formation of Lewy bodies, insoluble protein aggregates primarily composed of alpha-synuclein protein. The accumulation of alpha-synuclein is known to induce cytotoxicity, with mitochondrial dysfunction both contributing to and potentially amplifying this toxicity; however, the underlying mechanism remains unclear. Our lab developed a novel respiratory growth model that forces cells to undergo cellular respiration. Using this model, we have found alpha-synuclein is much more prone to accumulate, form cytoplasmic inclusions, and induce mitochondrial damage and apoptotic-induced cell death. We identified a strong genetic interaction between alpha-synuclein and a family of 14-3-3 proteins, which have previously been shown to colocalize in the Lewy bodies and offer a neuroprotective effect against alpha-synuclein toxicity. The purpose of this study is to systematically investigate how alpha-synuclein induces organelle-specific cellular damage, particularly within the endomembrane system, and how 14 3-3 proteins counteract these effects. To do this, we will use cells co-expressing alpha-synuclein and fluorescently tagged organelle markers, with or without 14-3-3 proteins. Fluorescence microscopy will be used to assess the morphology, localization, and distribution of organelles. Quantitative image analysis and statistical analysis will be used to assess organelle disruptions. Our findings will provide mechanistic insight into how alpha-synuclein disrupts organelle pathways and how 14-3-3 proteins offer protection. This study will provide insights into the cellular context of alpha-synuclein toxicity and highlight potential cellular pathways that can be targeted for therapeutic development in Parkinson’s disease.</w:t>
      </w:r>
    </w:p>
    <w:p w14:paraId="0FBCB9DC" w14:textId="77777777" w:rsidR="000421CA" w:rsidRDefault="000421CA" w:rsidP="000421CA">
      <w:r>
        <w:br w:type="page"/>
      </w:r>
    </w:p>
    <w:p w14:paraId="5632EBEF" w14:textId="4EEA9EEE" w:rsidR="000421CA" w:rsidRDefault="00B537EA" w:rsidP="000421CA">
      <w:pPr>
        <w:spacing w:after="0"/>
      </w:pPr>
      <w:r>
        <w:rPr>
          <w:sz w:val="24"/>
        </w:rPr>
        <w:lastRenderedPageBreak/>
        <w:t>College of Engineering and Computer Science</w:t>
      </w:r>
    </w:p>
    <w:p w14:paraId="7A9226CF" w14:textId="5C3FB389" w:rsidR="000421CA" w:rsidRDefault="000421CA" w:rsidP="000421CA">
      <w:pPr>
        <w:spacing w:after="240"/>
      </w:pPr>
    </w:p>
    <w:p w14:paraId="7C758CE4" w14:textId="77777777" w:rsidR="000421CA" w:rsidRDefault="000421CA" w:rsidP="000421CA">
      <w:pPr>
        <w:spacing w:after="0"/>
      </w:pPr>
      <w:r>
        <w:rPr>
          <w:sz w:val="24"/>
        </w:rPr>
        <w:t>Secure Organization-Specific LLM Systems: A Retrieval-Augmented Framework for Enterprise Knowledge Access</w:t>
      </w:r>
    </w:p>
    <w:p w14:paraId="44AAFAAB" w14:textId="17206F45" w:rsidR="000421CA" w:rsidRDefault="000421CA" w:rsidP="000421CA">
      <w:pPr>
        <w:spacing w:after="0"/>
      </w:pPr>
      <w:r>
        <w:rPr>
          <w:sz w:val="24"/>
        </w:rPr>
        <w:t>Goli, Abhishek Teja</w:t>
      </w:r>
    </w:p>
    <w:p w14:paraId="6E5F44EA" w14:textId="52596123" w:rsidR="000421CA" w:rsidRDefault="000421CA" w:rsidP="000421CA">
      <w:pPr>
        <w:spacing w:after="240"/>
      </w:pPr>
      <w:r>
        <w:rPr>
          <w:sz w:val="24"/>
        </w:rPr>
        <w:t>Mentor: Shimizu, Cogan</w:t>
      </w:r>
    </w:p>
    <w:p w14:paraId="57E3BA32" w14:textId="77777777" w:rsidR="000421CA" w:rsidRDefault="000421CA" w:rsidP="000421CA">
      <w:pPr>
        <w:spacing w:after="480"/>
      </w:pPr>
      <w:r>
        <w:t xml:space="preserve">There is a growing interest in using Large Language Models (LLMs) within organizations for internal knowledge retrieval, while ensuring data privacy and regulatory requirements. Using third-party API services for LLMs comes with challenges of data privacy, governance, and customization. This project introduces the design and implementation of a secure, organization-agnostic LLM application using a fully self-hosted stack. The system uses a Retrieval-Augmented Generation (RAG) model that combines internal document processing, embedding computation, vector indexing, and open-source LLMs for contextual, document-grounded question answering on confidential data. The authors detail the design principles, system components, and security aspects that make the system feasible for enterprise adoption. The proposed system illustrates how organizations can leverage internal documents as a private, </w:t>
      </w:r>
      <w:proofErr w:type="spellStart"/>
      <w:r>
        <w:t>queryable</w:t>
      </w:r>
      <w:proofErr w:type="spellEnd"/>
      <w:r>
        <w:t xml:space="preserve"> intelligence layer without depending on external services. The project also discusses future work on incorporating knowledge graph-based representations to improve structured reasoning and relational knowledge understanding in enterprise knowledge systems.</w:t>
      </w:r>
    </w:p>
    <w:p w14:paraId="566AED4D" w14:textId="77777777" w:rsidR="000421CA" w:rsidRDefault="000421CA" w:rsidP="000421CA">
      <w:r>
        <w:br w:type="page"/>
      </w:r>
    </w:p>
    <w:p w14:paraId="5F1E7458" w14:textId="65F98476" w:rsidR="000421CA" w:rsidRDefault="00441698" w:rsidP="000421CA">
      <w:pPr>
        <w:spacing w:after="0"/>
      </w:pPr>
      <w:r>
        <w:rPr>
          <w:sz w:val="24"/>
        </w:rPr>
        <w:lastRenderedPageBreak/>
        <w:t>Boonshoft School of Medicine</w:t>
      </w:r>
    </w:p>
    <w:p w14:paraId="2E6237D9" w14:textId="66F27768" w:rsidR="000421CA" w:rsidRDefault="000421CA" w:rsidP="000421CA">
      <w:pPr>
        <w:spacing w:after="240"/>
      </w:pPr>
    </w:p>
    <w:p w14:paraId="2E08C4C0" w14:textId="77777777" w:rsidR="000421CA" w:rsidRDefault="000421CA" w:rsidP="000421CA">
      <w:pPr>
        <w:spacing w:after="0"/>
      </w:pPr>
      <w:r>
        <w:rPr>
          <w:sz w:val="24"/>
        </w:rPr>
        <w:t>Colon-targeted pH-dependent compressed tablets of Naproxen</w:t>
      </w:r>
    </w:p>
    <w:p w14:paraId="2170D3D1" w14:textId="7EDBBDA6" w:rsidR="000421CA" w:rsidRDefault="000421CA" w:rsidP="000421CA">
      <w:pPr>
        <w:spacing w:after="0"/>
      </w:pPr>
      <w:r>
        <w:rPr>
          <w:sz w:val="24"/>
        </w:rPr>
        <w:t>Gorla, Poojitha Gorla</w:t>
      </w:r>
    </w:p>
    <w:p w14:paraId="007AB925" w14:textId="4F078696" w:rsidR="000421CA" w:rsidRDefault="000421CA" w:rsidP="000421CA">
      <w:pPr>
        <w:spacing w:after="240"/>
      </w:pPr>
      <w:r>
        <w:rPr>
          <w:sz w:val="24"/>
        </w:rPr>
        <w:t>Mentor: Oroszi L, Terry</w:t>
      </w:r>
    </w:p>
    <w:p w14:paraId="7F1D671A" w14:textId="77777777" w:rsidR="000421CA" w:rsidRDefault="000421CA" w:rsidP="000421CA">
      <w:pPr>
        <w:spacing w:after="480"/>
      </w:pPr>
      <w:r>
        <w:t>Colon-targeted drug delivery systems improve therapeutic efficacy and reduce systemic side effects by releasing drug specifically in the colon. This study focuses on the formulation and evaluation of pH-dependent compression-coated tablets of naproxen for colon targeted delivery. Tablets were prepared using Eudragit L100 and ethyl cellulose polymers and evaluated for physicochemical parameters, compatibility studies and in-vitro drug release in different pH conditions. The optimized formulation showed minimal drug release in gastric pH and maximum release in colonic pH, confirming successful colon targeting and improved therapeutic performance.</w:t>
      </w:r>
    </w:p>
    <w:p w14:paraId="26094629" w14:textId="77777777" w:rsidR="000421CA" w:rsidRDefault="000421CA" w:rsidP="000421CA">
      <w:r>
        <w:br w:type="page"/>
      </w:r>
    </w:p>
    <w:p w14:paraId="4CD55F8C" w14:textId="0600F6D2" w:rsidR="000421CA" w:rsidRDefault="00004C7D" w:rsidP="000421CA">
      <w:pPr>
        <w:spacing w:after="0"/>
      </w:pPr>
      <w:r>
        <w:rPr>
          <w:sz w:val="24"/>
        </w:rPr>
        <w:lastRenderedPageBreak/>
        <w:t>College of Science and Mathematics</w:t>
      </w:r>
    </w:p>
    <w:p w14:paraId="30BF50BB" w14:textId="3FC80DCF" w:rsidR="000421CA" w:rsidRDefault="000421CA" w:rsidP="000421CA">
      <w:pPr>
        <w:spacing w:after="240"/>
      </w:pPr>
    </w:p>
    <w:p w14:paraId="3DC81796" w14:textId="77777777" w:rsidR="000421CA" w:rsidRDefault="000421CA" w:rsidP="000421CA">
      <w:pPr>
        <w:spacing w:after="0"/>
      </w:pPr>
      <w:r>
        <w:rPr>
          <w:sz w:val="24"/>
        </w:rPr>
        <w:t>Sustained Peripheral Nerve Injury in Military Relevant Operational Environment: Role of Mitochondria</w:t>
      </w:r>
    </w:p>
    <w:p w14:paraId="403DA73D" w14:textId="470E2D1D" w:rsidR="000421CA" w:rsidRDefault="000421CA" w:rsidP="000421CA">
      <w:pPr>
        <w:spacing w:after="0"/>
      </w:pPr>
      <w:r>
        <w:rPr>
          <w:sz w:val="24"/>
        </w:rPr>
        <w:t>Grant, Delaney Christine</w:t>
      </w:r>
    </w:p>
    <w:p w14:paraId="1845AF85" w14:textId="05E58396" w:rsidR="000421CA" w:rsidRDefault="000421CA" w:rsidP="000421CA">
      <w:pPr>
        <w:spacing w:after="240"/>
      </w:pPr>
      <w:r>
        <w:rPr>
          <w:sz w:val="24"/>
        </w:rPr>
        <w:t>Mentor: Ladle, David</w:t>
      </w:r>
    </w:p>
    <w:p w14:paraId="446B4B6C" w14:textId="77777777" w:rsidR="000421CA" w:rsidRDefault="000421CA" w:rsidP="000421CA">
      <w:pPr>
        <w:spacing w:after="480"/>
      </w:pPr>
      <w:r>
        <w:t xml:space="preserve">Peripheral nerve injuries (PNIs) can result from various mechanisms, from chronic metabolic diseases such as diabetes to sudden traumatic injuries from accidents or from high-energy blasts in combat-sustained PNIs. PNIs vary in the severity of impaired sensory and motor dysfunction; however, they all share similar inflammatory, pathophysiological, and degenerative responses. The cellular responses to PNI and their contribution to (or limitation of) recovery in sensory neurons remain unknown; however, mitochondrial dysfunction has been observed in several other peripheral neuropathies. Research indicates mitochondria are essential cargo in neurons, whose bidirectional transport is crucial for maintaining proper synaptic and axonal function. Mitochondrial transport dysfunction has been observed in neurological disorders and peripheral neuropathies. However, there is no data regarding whether or how mitochondrial transport or morphology is affected in sensory neurons after traumatic PNI.  Our goal is to observe and analyze mitochondria morphology, movement, and dynamics along the mouse sciatic nerve, specifically after crush and transection PNIs. After developing a method to observe and image mitochondria along live axons using a </w:t>
      </w:r>
      <w:proofErr w:type="spellStart"/>
      <w:r>
        <w:t>MitoTracker</w:t>
      </w:r>
      <w:proofErr w:type="spellEnd"/>
      <w:r>
        <w:t xml:space="preserve"> dye and confocal microscopy, we were able to track mitochondria movements and analyze mitochondria morphology after PNI. Understanding changes in mitochondrial morphology and transport after PNI can shed light on the basic metabolic capacity of cells after injury and on how this capacity may limit recovery. Such information is critical to developing improved treatments for those with PNIs.</w:t>
      </w:r>
    </w:p>
    <w:p w14:paraId="63393A5C" w14:textId="77777777" w:rsidR="000421CA" w:rsidRDefault="000421CA" w:rsidP="000421CA">
      <w:r>
        <w:br w:type="page"/>
      </w:r>
    </w:p>
    <w:p w14:paraId="2580CA3E" w14:textId="7C61D39E" w:rsidR="000421CA" w:rsidRDefault="00004C7D" w:rsidP="000421CA">
      <w:pPr>
        <w:spacing w:after="0"/>
      </w:pPr>
      <w:r>
        <w:rPr>
          <w:sz w:val="24"/>
        </w:rPr>
        <w:lastRenderedPageBreak/>
        <w:t>College of Science and Mathematics</w:t>
      </w:r>
    </w:p>
    <w:p w14:paraId="58DB78CD" w14:textId="26E2417B" w:rsidR="000421CA" w:rsidRDefault="000421CA" w:rsidP="000421CA">
      <w:pPr>
        <w:spacing w:after="240"/>
      </w:pPr>
    </w:p>
    <w:p w14:paraId="44FDD6AF" w14:textId="77777777" w:rsidR="000421CA" w:rsidRDefault="000421CA" w:rsidP="000421CA">
      <w:pPr>
        <w:spacing w:after="0"/>
      </w:pPr>
      <w:r>
        <w:rPr>
          <w:sz w:val="24"/>
        </w:rPr>
        <w:t>When roots branch, fungi (may) follow: Does root architecture predict total ectomycorrhizal fungal colonization and exploration type?</w:t>
      </w:r>
    </w:p>
    <w:p w14:paraId="5921CEB7" w14:textId="302C0774" w:rsidR="000421CA" w:rsidRDefault="000421CA" w:rsidP="000421CA">
      <w:pPr>
        <w:spacing w:after="0"/>
      </w:pPr>
      <w:r>
        <w:rPr>
          <w:sz w:val="24"/>
        </w:rPr>
        <w:t>Greene, Madeline Robertson</w:t>
      </w:r>
    </w:p>
    <w:p w14:paraId="010425D7" w14:textId="2426BC6B" w:rsidR="000421CA" w:rsidRDefault="000421CA" w:rsidP="000421CA">
      <w:pPr>
        <w:spacing w:after="240"/>
      </w:pPr>
      <w:r>
        <w:rPr>
          <w:sz w:val="24"/>
        </w:rPr>
        <w:t>Mentor: Rúa, Megan</w:t>
      </w:r>
    </w:p>
    <w:p w14:paraId="172C570A" w14:textId="77777777" w:rsidR="000421CA" w:rsidRDefault="000421CA" w:rsidP="000421CA">
      <w:pPr>
        <w:spacing w:after="480"/>
      </w:pPr>
      <w:r>
        <w:t>The tree root microbiome is a dynamic hub of fungal activity that supports whole-plant function. Root systems differ in architectural traits like branching, diameter, and length to allow the plant to vary how they acquire nutrients from the soil through root-distribution and root-fungal associations. Among fungi, ectomycorrhizal fungi (EMF) are essential mutualists that enhance nutrient foraging and root growth. However, EMF species differ in how they explore the soil to gain nutrients. These so-called exploration types reflect distinct hyphal foraging strategies that vary in length and carbon investment into fungal biomass. Contact and short-distance types maintain limited biomass near the root, whereas medium- and long-distance types allocate greater biomass to hyphae that extend into the soil. Because roots and fungi represent different pathways of carbon into soil, differences in root architecture and EMF exploration may influence carbon mobilization and cycling through shifts in biomass allocation. However, whether variation in root architecture predicts EMF colonization and exploration type remains unclear. We grew Pinus radiata seedlings with large heterogeneity in root architecture for 1-year in greenhouse conditions and quantified root architecture, total EMF colonization, and colonization by exploration type.   EMF colonization decreased with greater branching (p &lt; 0.001) greater root mass density (p &lt; 0.001), and root diameter (p &lt; 0.001) but increased with greater specific root length (p = 0.015). Within exploration types, the proportion of tips with contact type increased with greater branching (p = 0.0373) but the proportion of tips with medium-distance smooth decreased (p = 0.005), suggesting shifts between localized and extended foraging strategies. However, no significant relationships were detected between branching and short-distance, long-distance, and other medium-distance types (p &gt; 0.05). These results suggest that greater root branching shifts fungal biomass allocation towards localized foraging, potentially concentrating carbon inputs near roots, limiting distribution within the soil.</w:t>
      </w:r>
    </w:p>
    <w:p w14:paraId="1B13DB60" w14:textId="77777777" w:rsidR="000421CA" w:rsidRDefault="000421CA" w:rsidP="000421CA">
      <w:r>
        <w:br w:type="page"/>
      </w:r>
    </w:p>
    <w:p w14:paraId="63D3AE74" w14:textId="35F9FDDE" w:rsidR="000421CA" w:rsidRDefault="00004C7D" w:rsidP="000421CA">
      <w:pPr>
        <w:spacing w:after="0"/>
      </w:pPr>
      <w:r>
        <w:rPr>
          <w:sz w:val="24"/>
        </w:rPr>
        <w:lastRenderedPageBreak/>
        <w:t>College of Science and Mathematics</w:t>
      </w:r>
    </w:p>
    <w:p w14:paraId="4AD87FA7" w14:textId="6DFF9F03" w:rsidR="000421CA" w:rsidRDefault="000421CA" w:rsidP="000421CA">
      <w:pPr>
        <w:spacing w:after="240"/>
      </w:pPr>
    </w:p>
    <w:p w14:paraId="746546ED" w14:textId="77777777" w:rsidR="000421CA" w:rsidRDefault="000421CA" w:rsidP="000421CA">
      <w:pPr>
        <w:spacing w:after="0"/>
      </w:pPr>
      <w:r>
        <w:rPr>
          <w:sz w:val="24"/>
        </w:rPr>
        <w:t>Callicarpa dichotoma: An ecological evaluation of traits in an emerging invasive plant</w:t>
      </w:r>
    </w:p>
    <w:p w14:paraId="6C5EEF73" w14:textId="6DD980D4" w:rsidR="000421CA" w:rsidRDefault="000421CA" w:rsidP="000421CA">
      <w:pPr>
        <w:spacing w:after="0"/>
      </w:pPr>
      <w:r>
        <w:rPr>
          <w:sz w:val="24"/>
        </w:rPr>
        <w:t>Grine, Mesa Christine</w:t>
      </w:r>
    </w:p>
    <w:p w14:paraId="11150AA3" w14:textId="4C3024C6" w:rsidR="000421CA" w:rsidRDefault="000421CA" w:rsidP="000421CA">
      <w:pPr>
        <w:spacing w:after="240"/>
      </w:pPr>
      <w:r>
        <w:rPr>
          <w:sz w:val="24"/>
        </w:rPr>
        <w:t>Mentor: Cipollini, Don</w:t>
      </w:r>
    </w:p>
    <w:p w14:paraId="6F45CC6E" w14:textId="77777777" w:rsidR="000421CA" w:rsidRDefault="000421CA" w:rsidP="000421CA">
      <w:pPr>
        <w:spacing w:after="480"/>
      </w:pPr>
      <w:r>
        <w:t xml:space="preserve">Anthropogenic dispersal of invasive plants has been an ongoing crisis in conservation efforts. In this study, we focused on an Asian plant species found planted and escaped within Ohio. Asian beautyberry (Callicarpa dichotoma, Verbenaceae) is a deciduous shrub native to East Asia that is planted ornamentally around the world due to their striking appearance. However, little is known about this plant. We addressed the following questions in a comparative study of Asian beautyberry with native and non-native shrubs that occupy similar habitats: (1) What is the distribution of Asian beautyberry in Ohio’s natural areas? (2) How well does Asian beautyberry tolerate herbivore damage and limited light and water availability? (3) How much herbivory does Asian beautyberry sustain in the field? (4) How does preference and performance of a generalist herbivore compare on Asian beautyberry with other shrub species? Field sites were mapped for the presence of Asian beautyberry escaped and planted. The full factorial greenhouse study included shade, drought, and herbivory with final root and shoot biomasses obtained and analyzed. We also evaluated growth of generalist insect larvae, fall armyworm (Spodoptera </w:t>
      </w:r>
      <w:proofErr w:type="spellStart"/>
      <w:r>
        <w:t>frugiperda</w:t>
      </w:r>
      <w:proofErr w:type="spellEnd"/>
      <w:r>
        <w:t xml:space="preserve">), on our plant of interest, Asian beautyberry (Callicarpa dichotoma), a known invasive, Amur honeysuckle (Lonicera </w:t>
      </w:r>
      <w:proofErr w:type="spellStart"/>
      <w:r>
        <w:t>maackii</w:t>
      </w:r>
      <w:proofErr w:type="spellEnd"/>
      <w:r>
        <w:t xml:space="preserve">) and two Ohio native species, gray dogwood (Cornus racemosa) and northern spicebush (Lindera benzoin). We also evaluated larval choice when placed between an Asian beautyberry leaf and a leaf from the competitor (including Asian beautyberry). Spodoptera </w:t>
      </w:r>
      <w:proofErr w:type="spellStart"/>
      <w:r>
        <w:t>frugiperda</w:t>
      </w:r>
      <w:proofErr w:type="spellEnd"/>
      <w:r>
        <w:t xml:space="preserve"> larvae performed better on Asian beautyberry than northern spicebush, similar to that of gray dogwood, and less on Amur honeysuckle. Additionally, larvae consistently chose Asian beautyberry over northern spicebush but similarly to gray dogwood and Amur honeysuckle. According to these findings, Asian beautyberry does seem to exhibit invasive tendencies, and further action should be taken to mitigate outbreak.</w:t>
      </w:r>
    </w:p>
    <w:p w14:paraId="63C08129" w14:textId="77777777" w:rsidR="000421CA" w:rsidRDefault="000421CA" w:rsidP="000421CA">
      <w:r>
        <w:br w:type="page"/>
      </w:r>
    </w:p>
    <w:p w14:paraId="6B27DCA1" w14:textId="44471556" w:rsidR="000421CA" w:rsidRDefault="00441698" w:rsidP="000421CA">
      <w:pPr>
        <w:spacing w:after="0"/>
      </w:pPr>
      <w:r>
        <w:rPr>
          <w:sz w:val="24"/>
        </w:rPr>
        <w:lastRenderedPageBreak/>
        <w:t>Boonshoft School of Medicine</w:t>
      </w:r>
    </w:p>
    <w:p w14:paraId="73480B6A" w14:textId="7F5D6942" w:rsidR="000421CA" w:rsidRDefault="000421CA" w:rsidP="000421CA">
      <w:pPr>
        <w:spacing w:after="240"/>
      </w:pPr>
    </w:p>
    <w:p w14:paraId="252728C8" w14:textId="77777777" w:rsidR="000421CA" w:rsidRDefault="000421CA" w:rsidP="000421CA">
      <w:pPr>
        <w:spacing w:after="0"/>
      </w:pPr>
      <w:r>
        <w:rPr>
          <w:sz w:val="24"/>
        </w:rPr>
        <w:t>Applying Precision Medicine to Alzheimer's Disease: Evaluating the Efficacy and Safety of ALZ-801 in the Genetically Highest-Risk Population</w:t>
      </w:r>
    </w:p>
    <w:p w14:paraId="6A544F7B" w14:textId="0F52EEB4" w:rsidR="000421CA" w:rsidRDefault="000421CA" w:rsidP="000421CA">
      <w:pPr>
        <w:spacing w:after="0"/>
      </w:pPr>
      <w:r>
        <w:rPr>
          <w:sz w:val="24"/>
        </w:rPr>
        <w:t>Gururaj, Rachana</w:t>
      </w:r>
    </w:p>
    <w:p w14:paraId="3F79FED2" w14:textId="7B9C3329" w:rsidR="000421CA" w:rsidRDefault="000421CA" w:rsidP="000421CA">
      <w:pPr>
        <w:spacing w:after="240"/>
      </w:pPr>
      <w:r>
        <w:rPr>
          <w:sz w:val="24"/>
        </w:rPr>
        <w:t xml:space="preserve">Mentor: </w:t>
      </w:r>
      <w:proofErr w:type="spellStart"/>
      <w:r>
        <w:rPr>
          <w:sz w:val="24"/>
        </w:rPr>
        <w:t>Elased</w:t>
      </w:r>
      <w:proofErr w:type="spellEnd"/>
      <w:r>
        <w:rPr>
          <w:sz w:val="24"/>
        </w:rPr>
        <w:t>, Khalid</w:t>
      </w:r>
    </w:p>
    <w:p w14:paraId="46318FA9" w14:textId="77777777" w:rsidR="000421CA" w:rsidRDefault="000421CA" w:rsidP="000421CA">
      <w:pPr>
        <w:spacing w:after="480"/>
      </w:pPr>
      <w:r>
        <w:t xml:space="preserve">Background: Apolipoprotein E ε4 (APOE4) homozygotes represent the highest genetic risk group for Alzheimer’s disease (AD), characterized by increased amyloid burden and accelerated neurodegeneration. </w:t>
      </w:r>
      <w:proofErr w:type="spellStart"/>
      <w:r>
        <w:t>Valiltramiprosate</w:t>
      </w:r>
      <w:proofErr w:type="spellEnd"/>
      <w:r>
        <w:t xml:space="preserve"> (ALZ-801) is an oral small-molecule prodrug designed to inhibit formation of soluble amyloid-β oligomers, targeting an upstream driver of AD pathology. The Phase III APOLLOE4 trial evaluated the efficacy and safety of ALZ-801 in APOE4/4 individuals with early symptomatic AD. Methods: In this 78-week, randomized, double-blind, placebo-controlled study, 325 APOE4 homozygous participants aged 50–80 years with mild cognitive impairment (MCI) due to AD or mild AD dementia were randomized 1:1 to ALZ-801 265 mg twice daily or placebo. The primary endpoint was change from baseline in ADAS-Cog13. Secondary outcomes included Clinical Dementia Rating – Sum of Boxes (CDR-SB), Disability Assessment for Dementia (DAD), and MRI measures of hippocampal volume and cortical thickness. Results: In the overall population, ALZ-801 did not significantly improve ADAS-Cog13 at Week 78 (11% slowing vs placebo; p=0.607). Non-significant slowing was observed on CDR-SB (23%) and DAD (29%). In the prespecified MCI subgroup (n=125), ALZ-801 demonstrated 52% slowing of cognitive decline on ADAS-Cog13, with substantial effects on CDR-SB (102%) and DAD (96%). MRI analyses showed reduced neurodegeneration, including 18% less hippocampal atrophy and 20% less cortical thinning overall, with greater effects in MCI (26% and 35%, respectively). ALZ-801 was generally well tolerated; nausea was the most common adverse event. ARIA-E incidence was low and comparable between groups, with no increased ARIA risk observed. Conclusion: Although the primary endpoint was not met in the full cohort, ALZ-801 demonstrated clinical and neuroimaging signals in APOE4/4 individuals with MCI, supporting further investigation in this high-risk population.</w:t>
      </w:r>
    </w:p>
    <w:p w14:paraId="76612A45" w14:textId="77777777" w:rsidR="000421CA" w:rsidRDefault="000421CA" w:rsidP="000421CA">
      <w:r>
        <w:br w:type="page"/>
      </w:r>
    </w:p>
    <w:p w14:paraId="089F9E25" w14:textId="06FABCDF" w:rsidR="000421CA" w:rsidRDefault="00004C7D" w:rsidP="000421CA">
      <w:pPr>
        <w:spacing w:after="0"/>
      </w:pPr>
      <w:r>
        <w:rPr>
          <w:sz w:val="24"/>
        </w:rPr>
        <w:lastRenderedPageBreak/>
        <w:t>College of Science and Mathematics</w:t>
      </w:r>
    </w:p>
    <w:p w14:paraId="6E829554" w14:textId="2273CF2A" w:rsidR="000421CA" w:rsidRDefault="000421CA" w:rsidP="000421CA">
      <w:pPr>
        <w:spacing w:after="240"/>
      </w:pPr>
    </w:p>
    <w:p w14:paraId="17487F21" w14:textId="77777777" w:rsidR="000421CA" w:rsidRDefault="000421CA" w:rsidP="000421CA">
      <w:pPr>
        <w:spacing w:after="0"/>
      </w:pPr>
      <w:r>
        <w:rPr>
          <w:sz w:val="24"/>
        </w:rPr>
        <w:t>Linking alpha-synuclein toxicity to autophagy</w:t>
      </w:r>
    </w:p>
    <w:p w14:paraId="5341E204" w14:textId="59BCCD42" w:rsidR="000421CA" w:rsidRDefault="000421CA" w:rsidP="000421CA">
      <w:pPr>
        <w:spacing w:after="0"/>
      </w:pPr>
      <w:r>
        <w:rPr>
          <w:sz w:val="24"/>
        </w:rPr>
        <w:t>Haider, Ishita</w:t>
      </w:r>
    </w:p>
    <w:p w14:paraId="218882CE" w14:textId="3B1B540A" w:rsidR="000421CA" w:rsidRDefault="000421CA" w:rsidP="000421CA">
      <w:pPr>
        <w:spacing w:after="240"/>
      </w:pPr>
      <w:r>
        <w:rPr>
          <w:sz w:val="24"/>
        </w:rPr>
        <w:t>Mentor: Zhong, Quan</w:t>
      </w:r>
    </w:p>
    <w:p w14:paraId="0D0EDA07" w14:textId="77777777" w:rsidR="000421CA" w:rsidRDefault="000421CA" w:rsidP="000421CA">
      <w:pPr>
        <w:spacing w:after="480"/>
      </w:pPr>
      <w:r>
        <w:t>Alpha-synuclein, a presynaptic membrane-binding protein, is linked genetically to Parkinson’s Disease (PD). Misfolding and abnormal accumulation of alpha-synuclein are hallmarks of PD. Previously, it was shown that elevated levels of alpha-synuclein induce cellular toxicity, which can be suppressed by overexpression of a conserved Rab GTPase in yeast and human cells. The underlying rescue mechanism remains unclear. We have found that mutations disrupting the autophagy-related function of this Rab GTPase fail to suppress alpha-synuclein toxicity. Together with several other lines of evidence, we suggest that the accumulation of alpha-synuclein and its disruption of cellular homeostasis are linked to dysregulation of autophagy.</w:t>
      </w:r>
    </w:p>
    <w:p w14:paraId="0DCEF312" w14:textId="77777777" w:rsidR="000421CA" w:rsidRDefault="000421CA" w:rsidP="000421CA">
      <w:r>
        <w:br w:type="page"/>
      </w:r>
    </w:p>
    <w:p w14:paraId="574FB9AD" w14:textId="07072709" w:rsidR="000421CA" w:rsidRDefault="00004C7D" w:rsidP="000421CA">
      <w:pPr>
        <w:spacing w:after="0"/>
      </w:pPr>
      <w:r>
        <w:rPr>
          <w:sz w:val="24"/>
        </w:rPr>
        <w:lastRenderedPageBreak/>
        <w:t>College of Science and Mathematics</w:t>
      </w:r>
    </w:p>
    <w:p w14:paraId="28930E45" w14:textId="121F4DC8" w:rsidR="000421CA" w:rsidRDefault="000421CA" w:rsidP="000421CA">
      <w:pPr>
        <w:spacing w:after="240"/>
      </w:pPr>
    </w:p>
    <w:p w14:paraId="4193AEF2" w14:textId="77777777" w:rsidR="000421CA" w:rsidRDefault="000421CA" w:rsidP="000421CA">
      <w:pPr>
        <w:spacing w:after="0"/>
      </w:pPr>
      <w:r>
        <w:rPr>
          <w:sz w:val="24"/>
        </w:rPr>
        <w:t>Systemic MyoAAV3-Lipin1 Gene Delivery Mitigates Muscle Pathology and Improves Function in mdx Mice</w:t>
      </w:r>
    </w:p>
    <w:p w14:paraId="59AB5853" w14:textId="7EFE5180" w:rsidR="000421CA" w:rsidRDefault="000421CA" w:rsidP="000421CA">
      <w:pPr>
        <w:spacing w:after="0"/>
      </w:pPr>
      <w:proofErr w:type="spellStart"/>
      <w:r>
        <w:rPr>
          <w:sz w:val="24"/>
        </w:rPr>
        <w:t>Hajmirza</w:t>
      </w:r>
      <w:proofErr w:type="spellEnd"/>
      <w:r>
        <w:rPr>
          <w:sz w:val="24"/>
        </w:rPr>
        <w:t xml:space="preserve"> Mohammadi Kamalabadi, Pooneh</w:t>
      </w:r>
    </w:p>
    <w:p w14:paraId="1D683CE6" w14:textId="7D899661" w:rsidR="000421CA" w:rsidRDefault="000421CA" w:rsidP="000421CA">
      <w:pPr>
        <w:spacing w:after="240"/>
      </w:pPr>
      <w:r>
        <w:rPr>
          <w:sz w:val="24"/>
        </w:rPr>
        <w:t>Mentor: Ren, Hongmei</w:t>
      </w:r>
    </w:p>
    <w:p w14:paraId="42F507BD" w14:textId="77777777" w:rsidR="000421CA" w:rsidRDefault="000421CA" w:rsidP="000421CA">
      <w:pPr>
        <w:spacing w:after="480"/>
      </w:pPr>
      <w:r>
        <w:t>Sarcolemma instability is a hallmark of Duchenne Muscular Dystrophy (DMD), a severe X-linked disorder caused by mutations in the dystrophin gene that lead to skeletal muscle degeneration, chronic inflammation, and fibrosis. No cure currently exists, and AAV-based dystrophin gene therapy remains limited by the vector’s carrying capacity and the potential immunogenicity of foreign dystrophin proteins, indicating a need for complementary strategies to support muscle stability. Lipin1, a phosphatidic acid phosphatase involved in lipid metabolism and membrane homeostasis, has been shown to complement dystrophin function in maintaining muscle integrity. With a coding sequence of ~3 kb, Lipin1 is well-suited for packaging within current AAV vectors, enabling efficient delivery. As an endogenous protein, Lipin1 is less likely to trigger immune responses compared to micro- or mini-dystrophin constructs, which are not naturally expressed in humans. Reduced Lipin1 expression has been reported in DMD patients and mdx mice, correlating with severe muscle damage. This study investigates whether systemic MyoAAV3-Lipin1 gene delivery can improve dystrophic skeletal muscle pathology. Our findings show that MyoAAV3-Lipin1 treatment significantly reduces fibrosis, decreases inflammation, and improves muscle morphology in mdx mice, supporting Lipin1 restoration as a promising therapeutic approach to preserve skeletal muscle function in DMD.</w:t>
      </w:r>
    </w:p>
    <w:p w14:paraId="4D36C2BD" w14:textId="77777777" w:rsidR="000421CA" w:rsidRDefault="000421CA" w:rsidP="000421CA">
      <w:r>
        <w:br w:type="page"/>
      </w:r>
    </w:p>
    <w:p w14:paraId="48D9A7C6" w14:textId="0F15BB85" w:rsidR="000421CA" w:rsidRDefault="00004C7D" w:rsidP="000421CA">
      <w:pPr>
        <w:spacing w:after="0"/>
      </w:pPr>
      <w:r>
        <w:rPr>
          <w:sz w:val="24"/>
        </w:rPr>
        <w:lastRenderedPageBreak/>
        <w:t>College of College of Science and Mathematics</w:t>
      </w:r>
    </w:p>
    <w:p w14:paraId="61062BF9" w14:textId="47D053C3" w:rsidR="000421CA" w:rsidRDefault="000421CA" w:rsidP="000421CA">
      <w:pPr>
        <w:spacing w:after="240"/>
      </w:pPr>
    </w:p>
    <w:p w14:paraId="4012CF8C" w14:textId="77777777" w:rsidR="000421CA" w:rsidRDefault="000421CA" w:rsidP="000421CA">
      <w:pPr>
        <w:spacing w:after="0"/>
      </w:pPr>
      <w:r>
        <w:rPr>
          <w:sz w:val="24"/>
        </w:rPr>
        <w:t xml:space="preserve">Investigating Synaptic Input and Intrinsic Motoneuron Excitability to Identify Neural Mechanisms of  Fatigue-Induced Weakness in </w:t>
      </w:r>
      <w:proofErr w:type="spellStart"/>
      <w:r>
        <w:rPr>
          <w:sz w:val="24"/>
        </w:rPr>
        <w:t>Dynapenia</w:t>
      </w:r>
      <w:proofErr w:type="spellEnd"/>
    </w:p>
    <w:p w14:paraId="2CB10A79" w14:textId="7764D94B" w:rsidR="000421CA" w:rsidRDefault="000421CA" w:rsidP="000421CA">
      <w:pPr>
        <w:spacing w:after="0"/>
      </w:pPr>
      <w:r>
        <w:rPr>
          <w:sz w:val="24"/>
        </w:rPr>
        <w:t>Hamdan, Jordan</w:t>
      </w:r>
    </w:p>
    <w:p w14:paraId="1EEB8AEB" w14:textId="72F0FD2A" w:rsidR="000421CA" w:rsidRDefault="000421CA" w:rsidP="000421CA">
      <w:pPr>
        <w:spacing w:after="240"/>
      </w:pPr>
      <w:r>
        <w:rPr>
          <w:sz w:val="24"/>
        </w:rPr>
        <w:t>Mentor: Elbasiouny, Sherif</w:t>
      </w:r>
    </w:p>
    <w:p w14:paraId="4D3D0D5F" w14:textId="77777777" w:rsidR="000421CA" w:rsidRDefault="000421CA" w:rsidP="000421CA">
      <w:pPr>
        <w:spacing w:after="480"/>
      </w:pPr>
      <w:r>
        <w:t>Fatigue-induced weakness is a temporary reduction in muscle strength often manifesting in older adults with progressive loss of muscle function (</w:t>
      </w:r>
      <w:proofErr w:type="spellStart"/>
      <w:r>
        <w:t>dynapenia</w:t>
      </w:r>
      <w:proofErr w:type="spellEnd"/>
      <w:r>
        <w:t xml:space="preserve">), leading to physical disability and increased risk of mortality. Motor units (MUs) are the final outputs of the central nervous system that converts sensory and descending motor inputs into muscle force and movement. MU output depends on the synaptic input received by the motor neuron (MN) pool and the intrinsic excitability of the MN itself. For decades, previous research has approached studying </w:t>
      </w:r>
      <w:proofErr w:type="spellStart"/>
      <w:r>
        <w:t>dynapenia</w:t>
      </w:r>
      <w:proofErr w:type="spellEnd"/>
      <w:r>
        <w:t xml:space="preserve"> from a muscle-centric perspective, with the contribution of neural mechanisms to fatigue-induced weakness remaining poorly understood. To determine if the nervous system is a key contributor to fatigue, we will conduct electrophysiology experiments to assess sensory and motor pathway excitability, synaptic input amplitude, and intrinsic MN properties during fatigue. Experiments will be performed using in vitro spinal cord preparations from weak (</w:t>
      </w:r>
      <w:proofErr w:type="spellStart"/>
      <w:r>
        <w:t>dynapenic</w:t>
      </w:r>
      <w:proofErr w:type="spellEnd"/>
      <w:r>
        <w:t xml:space="preserve">) and non-weak older adult mice, as well as young adult controls. MN fatigue will be induced using prolonged and repeated activation paradigms under both current-clamp and voltage-clamp conditions. MN excitability will be quantified before and after fatigue by measuring passive membrane properties, action potential and afterhyperpolarization characteristics, frequency-current relationships, and persistent inward currents. Changes in ion channel conductance will be evaluated using pharmacological blockers in voltage-clamp. We hypothesize that fatigue-induced weakness is associated with reduced MN excitability, diminished synaptic input from sensory and descending motor pathways, and impaired integration of these inputs, with effects exacerbated in </w:t>
      </w:r>
      <w:proofErr w:type="spellStart"/>
      <w:r>
        <w:t>dynapenia</w:t>
      </w:r>
      <w:proofErr w:type="spellEnd"/>
      <w:r>
        <w:t xml:space="preserve">. Identifying the neural mechanisms underlying fatigue-induced weakness with and without </w:t>
      </w:r>
      <w:proofErr w:type="spellStart"/>
      <w:r>
        <w:t>dynapenia</w:t>
      </w:r>
      <w:proofErr w:type="spellEnd"/>
      <w:r>
        <w:t xml:space="preserve"> will advance understanding of neuromuscular aging and provide insights as to neurotherapeutic strategies aimed at delaying fatigue onset and preserving motor function in older adults.</w:t>
      </w:r>
    </w:p>
    <w:p w14:paraId="3A36D199" w14:textId="77777777" w:rsidR="000421CA" w:rsidRDefault="000421CA" w:rsidP="000421CA">
      <w:r>
        <w:br w:type="page"/>
      </w:r>
    </w:p>
    <w:p w14:paraId="6413BD7C" w14:textId="396326E1" w:rsidR="000421CA" w:rsidRDefault="00004C7D" w:rsidP="000421CA">
      <w:pPr>
        <w:spacing w:after="0"/>
      </w:pPr>
      <w:r>
        <w:rPr>
          <w:sz w:val="24"/>
        </w:rPr>
        <w:lastRenderedPageBreak/>
        <w:t>College of Science and Mathematics</w:t>
      </w:r>
    </w:p>
    <w:p w14:paraId="64593542" w14:textId="6174E075" w:rsidR="000421CA" w:rsidRDefault="000421CA" w:rsidP="000421CA">
      <w:pPr>
        <w:spacing w:after="240"/>
      </w:pPr>
    </w:p>
    <w:p w14:paraId="039A0A40" w14:textId="77777777" w:rsidR="000421CA" w:rsidRDefault="000421CA" w:rsidP="000421CA">
      <w:pPr>
        <w:spacing w:after="0"/>
      </w:pPr>
      <w:r>
        <w:rPr>
          <w:sz w:val="24"/>
        </w:rPr>
        <w:t>Investigation of Calcium Fluoride Nucleation and Crystal Growth Chemistry Through Ion Selective Electrode Potentiometric Titrations: Where Does Nucleation Occur?</w:t>
      </w:r>
    </w:p>
    <w:p w14:paraId="4787DA85" w14:textId="719AAB5B" w:rsidR="000421CA" w:rsidRDefault="000421CA" w:rsidP="000421CA">
      <w:pPr>
        <w:spacing w:after="0"/>
      </w:pPr>
      <w:r>
        <w:rPr>
          <w:sz w:val="24"/>
        </w:rPr>
        <w:t>Hunt, Caroline M</w:t>
      </w:r>
    </w:p>
    <w:p w14:paraId="41D6ECAB" w14:textId="55ACC136" w:rsidR="000421CA" w:rsidRDefault="000421CA" w:rsidP="000421CA">
      <w:pPr>
        <w:spacing w:after="240"/>
      </w:pPr>
      <w:r>
        <w:rPr>
          <w:sz w:val="24"/>
        </w:rPr>
        <w:t>Mentor: Higgins, Steven</w:t>
      </w:r>
    </w:p>
    <w:p w14:paraId="6D42397B" w14:textId="77777777" w:rsidR="000421CA" w:rsidRDefault="000421CA" w:rsidP="000421CA">
      <w:pPr>
        <w:spacing w:after="480"/>
      </w:pPr>
      <w:r>
        <w:t>Classical nucleation theory (CNT) suggests that crystal nucleation is caused by statistical fluctuations in a supersaturated solution. In recent years, studies have been done to suggest the idea of prenucleation clusters (PNCs) forming prior to the bulk precipitation, due to the presence of ion clusters in the solution appearing to be thermodynamically stable. However, prior results in our lab have rejected the idea that ion clusters are in equilibrium prior to the nucleation of crystals. In the present research, ion-selective electrode potentiometric titrations were conducted in the study of calcium fluoride crystal nucleation to determine where nucleation is occurring and if nucleation is kinetically controlled. Results have suggested that all experiments performed using this technique have heterogeneous nucleation occurring at the end of the tubing, casting doubt on the validity of the results of these experiments.</w:t>
      </w:r>
    </w:p>
    <w:p w14:paraId="20A409F7" w14:textId="77777777" w:rsidR="000421CA" w:rsidRDefault="000421CA" w:rsidP="000421CA">
      <w:r>
        <w:br w:type="page"/>
      </w:r>
    </w:p>
    <w:p w14:paraId="501EF9F5" w14:textId="3E407CBD" w:rsidR="000421CA" w:rsidRDefault="00B537EA" w:rsidP="000421CA">
      <w:pPr>
        <w:spacing w:after="0"/>
      </w:pPr>
      <w:r>
        <w:rPr>
          <w:sz w:val="24"/>
        </w:rPr>
        <w:lastRenderedPageBreak/>
        <w:t>College of Engineering and Computer Science</w:t>
      </w:r>
    </w:p>
    <w:p w14:paraId="4F6812CE" w14:textId="0B7D1C37" w:rsidR="000421CA" w:rsidRDefault="000421CA" w:rsidP="000421CA">
      <w:pPr>
        <w:spacing w:after="240"/>
      </w:pPr>
    </w:p>
    <w:p w14:paraId="148F2A8E" w14:textId="77777777" w:rsidR="000421CA" w:rsidRDefault="000421CA" w:rsidP="000421CA">
      <w:pPr>
        <w:spacing w:after="0"/>
      </w:pPr>
      <w:r>
        <w:rPr>
          <w:sz w:val="24"/>
        </w:rPr>
        <w:t>Kastle Lab</w:t>
      </w:r>
    </w:p>
    <w:p w14:paraId="53604BE6" w14:textId="58295902" w:rsidR="000421CA" w:rsidRDefault="000421CA" w:rsidP="000421CA">
      <w:pPr>
        <w:spacing w:after="0"/>
      </w:pPr>
      <w:r>
        <w:rPr>
          <w:sz w:val="24"/>
        </w:rPr>
        <w:t>Jaldi, Chris Davis</w:t>
      </w:r>
    </w:p>
    <w:p w14:paraId="304C86E1" w14:textId="45487665" w:rsidR="000421CA" w:rsidRDefault="000421CA" w:rsidP="000421CA">
      <w:pPr>
        <w:spacing w:after="240"/>
      </w:pPr>
      <w:r>
        <w:rPr>
          <w:sz w:val="24"/>
        </w:rPr>
        <w:t>Mentor: Shimizu, Cogan</w:t>
      </w:r>
    </w:p>
    <w:p w14:paraId="02DF34CB" w14:textId="77777777" w:rsidR="000421CA" w:rsidRDefault="000421CA" w:rsidP="000421CA">
      <w:pPr>
        <w:spacing w:after="480"/>
      </w:pPr>
      <w:r>
        <w:t>KASTLE Lab’s mission is to -develop fundamental advances in knowledge engineering, especially as they pertain to knowledge graphs and including the development of relevant cyberinfrastructure; -explore the intersection between knowledge engineering, domain science, and machine/deep learning for the purpose of accelerating science and promoting data discovery and transdisciplinary research; -understand the bridge between human-conceptualization and machine-encoding to better align and design AI systems; and -advance the state of open curriculum in knowledge engineering and semantic technologies.</w:t>
      </w:r>
    </w:p>
    <w:p w14:paraId="47F8F50F" w14:textId="77777777" w:rsidR="000421CA" w:rsidRDefault="000421CA" w:rsidP="000421CA">
      <w:r>
        <w:br w:type="page"/>
      </w:r>
    </w:p>
    <w:p w14:paraId="34DE2BD3" w14:textId="005803FE" w:rsidR="000421CA" w:rsidRDefault="00004C7D" w:rsidP="000421CA">
      <w:pPr>
        <w:spacing w:after="0"/>
      </w:pPr>
      <w:r>
        <w:rPr>
          <w:sz w:val="24"/>
        </w:rPr>
        <w:lastRenderedPageBreak/>
        <w:t>College of Science and Mathematics</w:t>
      </w:r>
    </w:p>
    <w:p w14:paraId="4A44134C" w14:textId="321C6099" w:rsidR="000421CA" w:rsidRDefault="000421CA" w:rsidP="000421CA">
      <w:pPr>
        <w:spacing w:after="240"/>
      </w:pPr>
    </w:p>
    <w:p w14:paraId="483DDAED" w14:textId="77777777" w:rsidR="000421CA" w:rsidRDefault="000421CA" w:rsidP="000421CA">
      <w:pPr>
        <w:spacing w:after="0"/>
      </w:pPr>
      <w:r>
        <w:rPr>
          <w:sz w:val="24"/>
        </w:rPr>
        <w:t>Environmental Exposure to Hexavalent Chromium and Antibody Production in Human B-Cells</w:t>
      </w:r>
    </w:p>
    <w:p w14:paraId="080495B6" w14:textId="4738F602" w:rsidR="000421CA" w:rsidRDefault="000421CA" w:rsidP="000421CA">
      <w:pPr>
        <w:spacing w:after="0"/>
      </w:pPr>
      <w:r>
        <w:rPr>
          <w:sz w:val="24"/>
        </w:rPr>
        <w:t xml:space="preserve">Jha, </w:t>
      </w:r>
      <w:proofErr w:type="spellStart"/>
      <w:r>
        <w:rPr>
          <w:sz w:val="24"/>
        </w:rPr>
        <w:t>Shamvabi</w:t>
      </w:r>
      <w:proofErr w:type="spellEnd"/>
    </w:p>
    <w:p w14:paraId="32F011E7" w14:textId="6F4295F2" w:rsidR="000421CA" w:rsidRDefault="000421CA" w:rsidP="000421CA">
      <w:pPr>
        <w:spacing w:after="240"/>
      </w:pPr>
      <w:r>
        <w:rPr>
          <w:sz w:val="24"/>
        </w:rPr>
        <w:t>Mentor: Sulentic, Dr. Courtney</w:t>
      </w:r>
    </w:p>
    <w:p w14:paraId="3EEB99E5" w14:textId="77777777" w:rsidR="000421CA" w:rsidRDefault="000421CA" w:rsidP="000421CA">
      <w:pPr>
        <w:spacing w:after="480"/>
      </w:pPr>
      <w:r>
        <w:t xml:space="preserve">Environmental Exposure to Hexavalent Chromium and Antibody Production in Human B-Cells Jha, </w:t>
      </w:r>
      <w:proofErr w:type="spellStart"/>
      <w:r>
        <w:t>Shamvabi</w:t>
      </w:r>
      <w:proofErr w:type="spellEnd"/>
      <w:r>
        <w:t>; Howard, Nora Catherine; Sulentic, Courtney B-cells produce antibodies and play a central role in regulating adaptive immune responses against extracellular pathogens. Antibody production is tightly regulated and influenced by environmental stressors through alterations in cellular signaling and gene regulation. The immunoglobulin heavy chain (IGH) locus is critical for antibody expression and is sensitive to cellular stress and transcriptional regulation. Hexavalent chromium [Cr(VI)] is a widespread environmental contaminant and human toxicant, however, its potential effects on B-cell function and antibody production remain poorly understood. While previous studies of Cr(VI) exposure have reported limited and inconsistent immune effects, these studies do not directly evaluate B-cell specific responses. Environmental toxicants like Cr(VI) induce oxidative stress and DNA damage, which may disrupt processes mediating efficient antibody production. The objective of this study is to evaluate the concentration-dependent effects of Cr(VI) on antibody production in human B-cell line models and to determine whether direct exposure of Cr(VI) alters B-cell function independent of overt cytotoxicity. Understanding the impact of Cr(VI) on human antibody production will contribute to health risk assessment and identifying sensitive populations.</w:t>
      </w:r>
    </w:p>
    <w:p w14:paraId="6F7BAAE6" w14:textId="77777777" w:rsidR="000421CA" w:rsidRDefault="000421CA" w:rsidP="000421CA">
      <w:r>
        <w:br w:type="page"/>
      </w:r>
    </w:p>
    <w:p w14:paraId="7658290C" w14:textId="0375F710" w:rsidR="000421CA" w:rsidRDefault="00004C7D" w:rsidP="000421CA">
      <w:pPr>
        <w:spacing w:after="0"/>
      </w:pPr>
      <w:r>
        <w:rPr>
          <w:sz w:val="24"/>
        </w:rPr>
        <w:lastRenderedPageBreak/>
        <w:t>College of Science and Mathematics</w:t>
      </w:r>
    </w:p>
    <w:p w14:paraId="2F2B95FD" w14:textId="56CCFB0C" w:rsidR="000421CA" w:rsidRDefault="000421CA" w:rsidP="000421CA">
      <w:pPr>
        <w:spacing w:after="240"/>
      </w:pPr>
    </w:p>
    <w:p w14:paraId="6674EF0A" w14:textId="77777777" w:rsidR="000421CA" w:rsidRDefault="000421CA" w:rsidP="000421CA">
      <w:pPr>
        <w:spacing w:after="0"/>
      </w:pPr>
      <w:r>
        <w:rPr>
          <w:sz w:val="24"/>
        </w:rPr>
        <w:t>Development of a high-throughput assay for analyzing damaged cell-free DNA</w:t>
      </w:r>
    </w:p>
    <w:p w14:paraId="2F0352B0" w14:textId="6B2A497C" w:rsidR="000421CA" w:rsidRDefault="000421CA" w:rsidP="000421CA">
      <w:pPr>
        <w:spacing w:after="0"/>
      </w:pPr>
      <w:r>
        <w:rPr>
          <w:sz w:val="24"/>
        </w:rPr>
        <w:t>Jogi, Vijayalakshmi</w:t>
      </w:r>
    </w:p>
    <w:p w14:paraId="2D87EDAD" w14:textId="50521C32" w:rsidR="000421CA" w:rsidRDefault="000421CA" w:rsidP="000421CA">
      <w:pPr>
        <w:spacing w:after="240"/>
      </w:pPr>
      <w:r>
        <w:rPr>
          <w:sz w:val="24"/>
        </w:rPr>
        <w:t>Mentor: Kemp, Michael</w:t>
      </w:r>
    </w:p>
    <w:p w14:paraId="52B5C11D" w14:textId="77777777" w:rsidR="000421CA" w:rsidRDefault="000421CA" w:rsidP="000421CA">
      <w:pPr>
        <w:spacing w:after="480"/>
      </w:pPr>
      <w:r>
        <w:t>Cell-free DNA (cfDNA) in blood and biological fluids is widely used for noninvasive diagnosis and treatment of various disease conditions, including for cancer and pre-natal screening. Though DNA is known to be susceptible to damage by a wide variety of environmental, occupational, and therapeutic agents, whether cfDNA contains DNA adducts associated with these exposures has not been well studied. Moreover, traditional assays to detect damaged cfDNA have been tedious and limited by the number of samples that can be analyzed at one time. My research has therefore focused on developing a robust and high-throughput assay to detect bulky DNA adducts in cfDNA and to understand how cells release damaged cfDNA. To achieve these goals, cultured human cells were treated in 96-well plates with one of three different physiologically relevant genotoxic agents that generate bulky adducts on DNA, including skin cancer-inducing UVB radiation, lung cancer-causing benzo(a)pyrene, and the common anti-cancer drug cisplatin. The viability of the treated cells in the same plate was simultaneously measured. To study how damaged cfDNA is released from cells, I used pharmacological and genetic approaches to block DNA repair and cell death pathways. Inhibition of DNA repair was achieved by using the drug spironolactone and CRISPR/Cas9-mediated disruption of the DNA repair gene XPA, and I found that impairment of DNA repair resulted in greater damaged cell-free DNA release. The cell pathway known as apoptosis was inhibited with the small peptide Z-VAD-FMK, which led to significant reductions in cell-free DNA release. Ultimately, this assay could be used to detect many different types of DNA adducts in cfDNA from both research and clinical samples and to determine how therapeutic treatments modulate cfDNA release.</w:t>
      </w:r>
    </w:p>
    <w:p w14:paraId="21BE6960" w14:textId="77777777" w:rsidR="000421CA" w:rsidRDefault="000421CA" w:rsidP="000421CA">
      <w:r>
        <w:br w:type="page"/>
      </w:r>
    </w:p>
    <w:p w14:paraId="7F669220" w14:textId="45E4E550" w:rsidR="000421CA" w:rsidRDefault="00004C7D" w:rsidP="000421CA">
      <w:pPr>
        <w:spacing w:after="0"/>
      </w:pPr>
      <w:r>
        <w:rPr>
          <w:sz w:val="24"/>
        </w:rPr>
        <w:lastRenderedPageBreak/>
        <w:t>College of Science and Mathematics</w:t>
      </w:r>
    </w:p>
    <w:p w14:paraId="1D00D1DC" w14:textId="55A97FB1" w:rsidR="000421CA" w:rsidRDefault="000421CA" w:rsidP="000421CA">
      <w:pPr>
        <w:spacing w:after="240"/>
      </w:pPr>
    </w:p>
    <w:p w14:paraId="11F20820" w14:textId="77777777" w:rsidR="000421CA" w:rsidRDefault="000421CA" w:rsidP="000421CA">
      <w:pPr>
        <w:spacing w:after="0"/>
      </w:pPr>
      <w:r>
        <w:rPr>
          <w:sz w:val="24"/>
        </w:rPr>
        <w:t>Tick Talk: Mapping Ohio’s tick abundance and infection status, tick by tick</w:t>
      </w:r>
    </w:p>
    <w:p w14:paraId="0D2E6DFF" w14:textId="77777777" w:rsidR="000421CA" w:rsidRDefault="000421CA" w:rsidP="000421CA">
      <w:pPr>
        <w:spacing w:after="0"/>
      </w:pPr>
      <w:r>
        <w:rPr>
          <w:sz w:val="24"/>
        </w:rPr>
        <w:t xml:space="preserve"> Johnson, Olivia Grace</w:t>
      </w:r>
    </w:p>
    <w:p w14:paraId="493E9638" w14:textId="77777777" w:rsidR="000421CA" w:rsidRDefault="000421CA" w:rsidP="000421CA">
      <w:pPr>
        <w:spacing w:after="240"/>
      </w:pPr>
      <w:r>
        <w:rPr>
          <w:sz w:val="24"/>
        </w:rPr>
        <w:t xml:space="preserve"> Mentor: Cipollini, Don</w:t>
      </w:r>
    </w:p>
    <w:p w14:paraId="0115C03C" w14:textId="77777777" w:rsidR="000421CA" w:rsidRDefault="000421CA" w:rsidP="000421CA">
      <w:pPr>
        <w:spacing w:after="480"/>
      </w:pPr>
      <w:r>
        <w:t>We sampled nine field sites across Ohio in May, July, and September 2025 to assess tick abundance, diversity, and infection status. The highest diversity was found in May, including deer, dog, lone star, and Asian longhorned ticks. Borrelia burgdorferi was the only detected pathogen, found only in deer ticks from three counties. We report the first deer tick in Putnam county. Lone star ticks were found only in the most southern sites. Our findings indicate that climate warming likely contributes to range expansion of the lone star tick, while deer and dog tick distributions are influenced by land use change.</w:t>
      </w:r>
    </w:p>
    <w:p w14:paraId="3A7C61C3" w14:textId="77777777" w:rsidR="000421CA" w:rsidRDefault="000421CA" w:rsidP="000421CA">
      <w:r>
        <w:br w:type="page"/>
      </w:r>
    </w:p>
    <w:p w14:paraId="50BF56DF" w14:textId="04FC31FF" w:rsidR="000421CA" w:rsidRDefault="00441698" w:rsidP="000421CA">
      <w:pPr>
        <w:spacing w:after="0"/>
      </w:pPr>
      <w:r>
        <w:rPr>
          <w:sz w:val="24"/>
        </w:rPr>
        <w:lastRenderedPageBreak/>
        <w:t>Boonshoft School of Medicine</w:t>
      </w:r>
    </w:p>
    <w:p w14:paraId="577496EE" w14:textId="6C619AF7" w:rsidR="000421CA" w:rsidRDefault="000421CA" w:rsidP="000421CA">
      <w:pPr>
        <w:spacing w:after="240"/>
      </w:pPr>
    </w:p>
    <w:p w14:paraId="594716BC" w14:textId="77777777" w:rsidR="000421CA" w:rsidRDefault="000421CA" w:rsidP="000421CA">
      <w:pPr>
        <w:spacing w:after="0"/>
      </w:pPr>
      <w:r>
        <w:rPr>
          <w:sz w:val="24"/>
        </w:rPr>
        <w:t>The Impact of Psychological Support on Treatment Outcomes in Cancer Patients</w:t>
      </w:r>
    </w:p>
    <w:p w14:paraId="17401034" w14:textId="77777777" w:rsidR="000421CA" w:rsidRDefault="000421CA" w:rsidP="000421CA">
      <w:pPr>
        <w:spacing w:after="0"/>
      </w:pPr>
      <w:r>
        <w:rPr>
          <w:sz w:val="24"/>
        </w:rPr>
        <w:t xml:space="preserve"> Joshi, Krishna</w:t>
      </w:r>
    </w:p>
    <w:p w14:paraId="0FBA4F92" w14:textId="77777777" w:rsidR="000421CA" w:rsidRDefault="000421CA" w:rsidP="000421CA">
      <w:pPr>
        <w:spacing w:after="240"/>
      </w:pPr>
      <w:r>
        <w:rPr>
          <w:sz w:val="24"/>
        </w:rPr>
        <w:t xml:space="preserve"> Mentor: Sahu, Ravi</w:t>
      </w:r>
    </w:p>
    <w:p w14:paraId="798B3BBF" w14:textId="77777777" w:rsidR="000421CA" w:rsidRDefault="000421CA" w:rsidP="000421CA">
      <w:pPr>
        <w:spacing w:after="480"/>
      </w:pPr>
      <w:r>
        <w:t>Living with a chronic illness such as cancer is not only a physical struggle, but also an emotional stress. Extended hospital stays, complex treatment plans, and the uncertainty of what lies ahead place tremendous strain on patients and their families. These challenges often result in significant psychological distress, including anxiety, depression, and emotional fatigue, which markedly impact the quality of life. Despite increasing recognition of the mind-body connection, mental health care remains only partially integrated into standard medical practice and is frequently viewed as supplementary rather than essential. This review aims to explore the impact of mental health interventions on individuals suffering from cancer with a particular focus on outcomes such as anxiety, treatment adherence, and overall daily functioning. By analyzing evidence from randomized trials, observational studies, and real-world experiences, it is clear that patients and their caregivers experience disproportionately high levels of mental health challenges compared with the general population. Importantly, mental health support has been shown to provide emotional relief, improve physical well-being, enhance treatment compliance, and strengthen social connections. Therefore, an early identification of emotional needs and consistent counseling for both patients and their families is crucial. To that end, incorporating psychological support as a standard, non-negotiable component of care is essential to achieving truly patient-centered healthcare. Keywords: Psychological Distress; Chronic Illness Management, Integrated Care Model, Patient Centered Healthcare, Treatment adherence, Quality of Life.</w:t>
      </w:r>
    </w:p>
    <w:p w14:paraId="6D8018ED" w14:textId="77777777" w:rsidR="000421CA" w:rsidRDefault="000421CA" w:rsidP="000421CA">
      <w:r>
        <w:br w:type="page"/>
      </w:r>
    </w:p>
    <w:p w14:paraId="664936C1" w14:textId="357E5992" w:rsidR="000421CA" w:rsidRDefault="00441698" w:rsidP="000421CA">
      <w:pPr>
        <w:spacing w:after="0"/>
      </w:pPr>
      <w:r>
        <w:rPr>
          <w:sz w:val="24"/>
        </w:rPr>
        <w:lastRenderedPageBreak/>
        <w:t>Boonshoft School of Medicine</w:t>
      </w:r>
    </w:p>
    <w:p w14:paraId="21C6714B" w14:textId="3462BAA7" w:rsidR="000421CA" w:rsidRDefault="000421CA" w:rsidP="000421CA">
      <w:pPr>
        <w:spacing w:after="240"/>
      </w:pPr>
    </w:p>
    <w:p w14:paraId="5665CBFD" w14:textId="77777777" w:rsidR="000421CA" w:rsidRDefault="000421CA" w:rsidP="000421CA">
      <w:pPr>
        <w:spacing w:after="0"/>
      </w:pPr>
      <w:r>
        <w:rPr>
          <w:sz w:val="24"/>
        </w:rPr>
        <w:t>Evaluation of nano-carrier based drug delivery system in breast cancer therapy</w:t>
      </w:r>
    </w:p>
    <w:p w14:paraId="1A4F9376" w14:textId="222F970D" w:rsidR="000421CA" w:rsidRDefault="000421CA" w:rsidP="000421CA">
      <w:pPr>
        <w:spacing w:after="0"/>
      </w:pPr>
      <w:proofErr w:type="spellStart"/>
      <w:r>
        <w:rPr>
          <w:sz w:val="24"/>
        </w:rPr>
        <w:t>Kachhadiya</w:t>
      </w:r>
      <w:proofErr w:type="spellEnd"/>
      <w:r>
        <w:rPr>
          <w:sz w:val="24"/>
        </w:rPr>
        <w:t xml:space="preserve">, Kirtan </w:t>
      </w:r>
      <w:proofErr w:type="spellStart"/>
      <w:r>
        <w:rPr>
          <w:sz w:val="24"/>
        </w:rPr>
        <w:t>Bhagwandas</w:t>
      </w:r>
      <w:proofErr w:type="spellEnd"/>
    </w:p>
    <w:p w14:paraId="79D8D494" w14:textId="16C287A5" w:rsidR="000421CA" w:rsidRDefault="000421CA" w:rsidP="000421CA">
      <w:pPr>
        <w:spacing w:after="240"/>
      </w:pPr>
      <w:r>
        <w:rPr>
          <w:sz w:val="24"/>
        </w:rPr>
        <w:t>Mentor: Sahu, Ravi</w:t>
      </w:r>
    </w:p>
    <w:p w14:paraId="0E60333F" w14:textId="77777777" w:rsidR="000421CA" w:rsidRDefault="000421CA" w:rsidP="000421CA">
      <w:pPr>
        <w:spacing w:after="480"/>
      </w:pPr>
      <w:r>
        <w:t>In recent years, the prevalence of breast cancer has reached an all-time high, with increased mortality is predicted annually in the United States. While conventional therapies present viable options, their efficacy is often limited due to challenges such as drug resistance, disease recurrence, and severe adverse effects. To overcome these limitations, novel therapeutic approaches are being developed to achieve better efficacy with fewer side effects. Depending on the breast cancer subtype, these emerging strategies include antibody–drug conjugates, immunotherapy, oncolytic viruses, and nanomedicine. Many of these approaches directly target genomic sequences, which provide unique and highly specific therapeutic targets for cancer treatment. This study aims to assess the efficacy of recombinant-based novel therapies for breast cancer and to compare their performance with that of conventional treatment approaches. Keywords: - Nano medicine; Novel therapies; Oncolytic viruses; Cell viability; Caspases activity.</w:t>
      </w:r>
    </w:p>
    <w:p w14:paraId="1B9AA692" w14:textId="77777777" w:rsidR="000421CA" w:rsidRDefault="000421CA" w:rsidP="000421CA">
      <w:r>
        <w:br w:type="page"/>
      </w:r>
    </w:p>
    <w:p w14:paraId="16F4E8BD" w14:textId="4968A96A" w:rsidR="000421CA" w:rsidRDefault="00441698" w:rsidP="000421CA">
      <w:pPr>
        <w:spacing w:after="0"/>
      </w:pPr>
      <w:r>
        <w:rPr>
          <w:sz w:val="24"/>
        </w:rPr>
        <w:lastRenderedPageBreak/>
        <w:t>Boonshoft School of Medicine</w:t>
      </w:r>
    </w:p>
    <w:p w14:paraId="4C9148E4" w14:textId="031CC87B" w:rsidR="000421CA" w:rsidRDefault="000421CA" w:rsidP="000421CA">
      <w:pPr>
        <w:spacing w:after="240"/>
      </w:pPr>
    </w:p>
    <w:p w14:paraId="0E76C903" w14:textId="77777777" w:rsidR="000421CA" w:rsidRDefault="000421CA" w:rsidP="000421CA">
      <w:pPr>
        <w:spacing w:after="0"/>
      </w:pPr>
      <w:r>
        <w:rPr>
          <w:sz w:val="24"/>
        </w:rPr>
        <w:t>Efficacy of combining the immune checkpoint Inhibitors with nab-paclitaxel for triple- negative breast cancer</w:t>
      </w:r>
    </w:p>
    <w:p w14:paraId="7E0A2C29" w14:textId="39E43A99" w:rsidR="000421CA" w:rsidRDefault="000421CA" w:rsidP="000421CA">
      <w:pPr>
        <w:spacing w:after="0"/>
      </w:pPr>
      <w:r>
        <w:rPr>
          <w:sz w:val="24"/>
        </w:rPr>
        <w:t>Kallu, Chaitanya</w:t>
      </w:r>
    </w:p>
    <w:p w14:paraId="674D2A50" w14:textId="03A8DBBF" w:rsidR="000421CA" w:rsidRDefault="000421CA" w:rsidP="000421CA">
      <w:pPr>
        <w:spacing w:after="240"/>
      </w:pPr>
      <w:r>
        <w:rPr>
          <w:sz w:val="24"/>
        </w:rPr>
        <w:t>Mentor: Sahu P, Ravi</w:t>
      </w:r>
    </w:p>
    <w:p w14:paraId="165D1DDA" w14:textId="77777777" w:rsidR="000421CA" w:rsidRDefault="000421CA" w:rsidP="000421CA">
      <w:pPr>
        <w:spacing w:after="480"/>
      </w:pPr>
      <w:r>
        <w:t>Triple-negative breast cancer (TNBC) is an aggressive and highly metastatic subtype of breast cancer characterized by the absence of estrogen receptor (ER), progesterone receptor (PR), and human epidermal growth factor receptor-2 (HER2). This limits the effectiveness of hormone-based and targeted therapies, leaving chemotherapy as the primary treatment option, despite its nonspecific toxicity, limited efficacy, and high rates of tumor recurrence. TNBC exhibits marked tumor heterogeneity, immune suppression, and aggressive behavior, which further compromises antitumor immune responses. This review examines the clinical rationale and emerging evidence supporting the combination of immune checkpoint inhibitors with albumin-bound paclitaxel (nab-paclitaxel) to overcome the limitations of conventional chemotherapy. While immunotherapy alone has shown limited efficacy in TNBC due to immune evasion and tumor heterogeneity, combination strategies can induce dual antitumor activity by enhancing tumor antigen presentation, improving the immune microenvironment, and inhibiting tumor regrowth. Preclinical and clinical studies demonstrate that combining nab-paclitaxel with PD-1 or PD-L1 inhibitors leads to tumor regression, immune reactivation, and improved survival outcomes, with minimal systemic toxicity. This review highlights current therapeutic strategies and future directions, emphasizing optimized patient selection and personalized combination therapies to achieve durable clinical benefits in TNBC.  Key Words: Triple-Negative Breast Cancer, estrogen receptors, progesterone receptors, human epidermal growth factor receptor 2, breast cancer, Nab paclitaxel, Atezolizumab, immune checkpoint inhibitors, chemotherapy, immunotherapy, PD-1 ligand and PD-L1 receptor.</w:t>
      </w:r>
    </w:p>
    <w:p w14:paraId="0D4EDF0F" w14:textId="77777777" w:rsidR="000421CA" w:rsidRDefault="000421CA" w:rsidP="000421CA">
      <w:r>
        <w:br w:type="page"/>
      </w:r>
    </w:p>
    <w:p w14:paraId="25CFF208" w14:textId="39864C6F" w:rsidR="000421CA" w:rsidRDefault="00441698" w:rsidP="000421CA">
      <w:pPr>
        <w:spacing w:after="0"/>
      </w:pPr>
      <w:r>
        <w:rPr>
          <w:sz w:val="24"/>
        </w:rPr>
        <w:lastRenderedPageBreak/>
        <w:t>Boonshoft School of Medicine</w:t>
      </w:r>
    </w:p>
    <w:p w14:paraId="3584DD7F" w14:textId="413F4E52" w:rsidR="000421CA" w:rsidRDefault="000421CA" w:rsidP="000421CA">
      <w:pPr>
        <w:spacing w:after="240"/>
      </w:pPr>
    </w:p>
    <w:p w14:paraId="2E34E6B0" w14:textId="77777777" w:rsidR="000421CA" w:rsidRDefault="000421CA" w:rsidP="000421CA">
      <w:pPr>
        <w:spacing w:after="0"/>
      </w:pPr>
      <w:r>
        <w:rPr>
          <w:sz w:val="24"/>
        </w:rPr>
        <w:t>Angiotensin Receptor–Neprilysin Inhibitors (ARNIs) in Modern Heart Failure Management: Mechanisms, Clinical Benefits, and Future Directions.</w:t>
      </w:r>
    </w:p>
    <w:p w14:paraId="3E82B100" w14:textId="1BE45C2E" w:rsidR="000421CA" w:rsidRDefault="000421CA" w:rsidP="000421CA">
      <w:pPr>
        <w:spacing w:after="0"/>
      </w:pPr>
      <w:proofErr w:type="spellStart"/>
      <w:r>
        <w:rPr>
          <w:sz w:val="24"/>
        </w:rPr>
        <w:t>Kanneti</w:t>
      </w:r>
      <w:proofErr w:type="spellEnd"/>
      <w:r>
        <w:rPr>
          <w:sz w:val="24"/>
        </w:rPr>
        <w:t>, Rohith</w:t>
      </w:r>
    </w:p>
    <w:p w14:paraId="36CD1648" w14:textId="22B10D68" w:rsidR="000421CA" w:rsidRDefault="000421CA" w:rsidP="000421CA">
      <w:pPr>
        <w:spacing w:after="240"/>
      </w:pPr>
      <w:r>
        <w:rPr>
          <w:sz w:val="24"/>
        </w:rPr>
        <w:t xml:space="preserve">Mentor: </w:t>
      </w:r>
      <w:proofErr w:type="spellStart"/>
      <w:r>
        <w:rPr>
          <w:sz w:val="24"/>
        </w:rPr>
        <w:t>Elased</w:t>
      </w:r>
      <w:proofErr w:type="spellEnd"/>
      <w:r>
        <w:rPr>
          <w:sz w:val="24"/>
        </w:rPr>
        <w:t>, Khalid</w:t>
      </w:r>
    </w:p>
    <w:p w14:paraId="74DC945B" w14:textId="77777777" w:rsidR="000421CA" w:rsidRDefault="000421CA" w:rsidP="000421CA">
      <w:pPr>
        <w:spacing w:after="480"/>
      </w:pPr>
      <w:r>
        <w:t>Angiotensin Receptor–Neprilysin Inhibitors (ARNIs) in Modern Heart Failure Management: Mechanisms, Clinical Benefits, and Future Directions.   Background: ARNIs have become a cornerstone therapy in chronic heart failure, particularly in patients with heart failure with reduced ejection fraction. ARNIs simultaneously block the renin–angiotensin system and inhibit neprilysin, enhancing natriuretic peptide signaling while attenuating maladaptive neurohormonal activation. This dual mechanism promotes vasodilation, natriuresis, and reverse remodeling beyond what is achieved with angiotensin-converting enzyme inhibitors (ACEIs) or angiotensin receptor blockers (ARBs), positioning ARNIs as a preferred component of modern guideline-directed medical therapy. Aim: To summarize the mechanistic basis, key clinical trial evidence, safety profile, and practical implementation of ARNIs in contemporary heart failure management, and to outline future directions for optimizing their use across the spectrum of heart failure phenotypes. Results: The landmark PARADIGM-HF trial demonstrated that sacubitril/valsartan reduced the composite of cardiovascular death or heart failure hospitalization by roughly 20% versus enalapril, with consistent benefit across major subgroups. Subsequent analyses and real‑world data show improvements in all‑cause mortality, New York Heart Association class, natriuretic peptide levels, and left ventricular ejection fraction when ARNIs are incorporated early with other disease‑modifying agents. Safety data indicate increased rates of symptomatic hypotension and modest changes in renal function, but no excess risk of angioedema or hyperkalemia compared with ACEIs/ARBs when appropriate washout and patient selection are observed. Summary: ARNIs represent a major advance in heart failure therapeutics, providing superior reductions in mortality and hospitalization compared with traditional RAS blockade while maintaining an acceptable safety profile. Their early and systematic use, alongside other disease‑modifying agents, has the potential to further improve long‑term outcomes for a broad range of patients with heart failure. Future prospectives: Key priorities include addressing underutilization, optimizing initiation timing during or after acute decompensation, and expanding evidence in heart failure with mildly reduced or preserved ejection fraction. Ongoing research into biomarkers, comorbid conditions, and cost-effectiveness will guide individualized ARNI therapy.</w:t>
      </w:r>
    </w:p>
    <w:p w14:paraId="4D345CD8" w14:textId="77777777" w:rsidR="000421CA" w:rsidRDefault="000421CA" w:rsidP="000421CA">
      <w:r>
        <w:br w:type="page"/>
      </w:r>
    </w:p>
    <w:p w14:paraId="6CDAB8FC" w14:textId="3CBB513E" w:rsidR="000421CA" w:rsidRDefault="00E533E4" w:rsidP="000421CA">
      <w:pPr>
        <w:spacing w:after="0"/>
      </w:pPr>
      <w:r>
        <w:rPr>
          <w:sz w:val="24"/>
        </w:rPr>
        <w:lastRenderedPageBreak/>
        <w:t>College of Health, Education, and Human Services</w:t>
      </w:r>
    </w:p>
    <w:p w14:paraId="1DF798AE" w14:textId="1EA55495" w:rsidR="000421CA" w:rsidRDefault="000421CA" w:rsidP="000421CA">
      <w:pPr>
        <w:spacing w:after="240"/>
      </w:pPr>
    </w:p>
    <w:p w14:paraId="7633A11B" w14:textId="77777777" w:rsidR="000421CA" w:rsidRDefault="000421CA" w:rsidP="000421CA">
      <w:pPr>
        <w:spacing w:after="0"/>
      </w:pPr>
      <w:r>
        <w:rPr>
          <w:sz w:val="24"/>
        </w:rPr>
        <w:t>A Comparative Study of Resilience and Suicidal Ideation in First- vs. Continuing -Generation Students</w:t>
      </w:r>
    </w:p>
    <w:p w14:paraId="35B86E0A" w14:textId="35BBAFE4" w:rsidR="000421CA" w:rsidRDefault="000421CA" w:rsidP="000421CA">
      <w:pPr>
        <w:spacing w:after="0"/>
      </w:pPr>
      <w:r>
        <w:rPr>
          <w:sz w:val="24"/>
        </w:rPr>
        <w:t>Karimzadeh, Mona</w:t>
      </w:r>
    </w:p>
    <w:p w14:paraId="7F623864" w14:textId="7C57847B" w:rsidR="000421CA" w:rsidRDefault="000421CA" w:rsidP="000421CA">
      <w:pPr>
        <w:spacing w:after="240"/>
      </w:pPr>
      <w:r>
        <w:rPr>
          <w:sz w:val="24"/>
        </w:rPr>
        <w:t>Mentor: Crawford, Timothy</w:t>
      </w:r>
    </w:p>
    <w:p w14:paraId="761A4E75" w14:textId="77777777" w:rsidR="000421CA" w:rsidRDefault="000421CA" w:rsidP="000421CA">
      <w:pPr>
        <w:spacing w:after="480"/>
      </w:pPr>
      <w:r>
        <w:t>Introduction: First-generation college students face unique academic, financial, and psychosocial stressors that increase their risk for adverse mental health outcomes, including anxiety, depression, and suicidal ideation. They may experience greater psychological distress and lower resilience than continuing-generation peers; however, resilience has rarely been examined as a protective factor across mental health outcomes.   Aim: The aim of this study was to examine the association between resilience and depressive symptoms, anxiety, perceived stress, and suicidal ideation overall and by first-generation college student status.   Method: This cross-sectional study included 103 college students who completed an anonymous online survey at a midsize midwestern university, of whom 32 were first-generation students. Measures included a validated Resilience Scale, depressive symptoms assessed using the Patient Health Questionnaire-9 (PHQ-9), anxiety assessed using the Generalized Anxiety Disorder-7 (GAD-7), perceived stress, and suicidal ideation. Multivariable linear and logistic regression models examined associations between resilience, first-generation status, and mental health outcomes, adjusting for sociodemographic, academic, behavioral, and health-related covariates. Stratified analyses by first-generation status were conducted.   Result: First-generation students reported slightly lower resilience and higher depressive symptoms, anxiety, and perceived stress than continuing-generation students, though differences were not statistically significant after covariate adjustment. Of participants, 31% were first-generation, and 12% reported suicidal ideation. Students reporting suicidal ideation had higher depressive symptoms, anxiety, perceived stress, and lower resilience. Across the sample, higher resilience predicted lower depressive symptoms (p &lt; 0.001), anxiety, and perceived stress. Stratified analyses showed resilience was protective in both groups. Logistic regression showed first-generation status was not significantly associated with suicidal ideation (OR = 0.28, 95% CI: 0.01–3.31, p = 0.35).   Conclusion: While first-generation status alone did not predict mental health outcomes, resilience was consistently protective against depression, anxiety, perceived stress, and suicidal ideation. These findings suggest resilience-based interventions may benefit all students, regardless of first-generation status.</w:t>
      </w:r>
    </w:p>
    <w:p w14:paraId="6A40E18D" w14:textId="77777777" w:rsidR="000421CA" w:rsidRDefault="000421CA" w:rsidP="000421CA">
      <w:r>
        <w:br w:type="page"/>
      </w:r>
    </w:p>
    <w:p w14:paraId="5619D296" w14:textId="5751F0DD" w:rsidR="000421CA" w:rsidRDefault="00441698" w:rsidP="000421CA">
      <w:pPr>
        <w:spacing w:after="0"/>
      </w:pPr>
      <w:r>
        <w:rPr>
          <w:sz w:val="24"/>
        </w:rPr>
        <w:lastRenderedPageBreak/>
        <w:t>Boonshoft School of Medicine</w:t>
      </w:r>
    </w:p>
    <w:p w14:paraId="37B0A1B4" w14:textId="48085DDA" w:rsidR="000421CA" w:rsidRDefault="000421CA" w:rsidP="000421CA">
      <w:pPr>
        <w:spacing w:after="240"/>
      </w:pPr>
    </w:p>
    <w:p w14:paraId="21313BB2" w14:textId="77777777" w:rsidR="000421CA" w:rsidRDefault="000421CA" w:rsidP="000421CA">
      <w:pPr>
        <w:spacing w:after="0"/>
      </w:pPr>
      <w:r>
        <w:rPr>
          <w:sz w:val="24"/>
        </w:rPr>
        <w:t xml:space="preserve">Efficacy and Safety of PPAR- γ Agonists in Type 2 Diabetes: Insights from </w:t>
      </w:r>
      <w:proofErr w:type="spellStart"/>
      <w:r>
        <w:rPr>
          <w:sz w:val="24"/>
        </w:rPr>
        <w:t>PROactive</w:t>
      </w:r>
      <w:proofErr w:type="spellEnd"/>
      <w:r>
        <w:rPr>
          <w:sz w:val="24"/>
        </w:rPr>
        <w:t xml:space="preserve"> and IRIS Trials</w:t>
      </w:r>
    </w:p>
    <w:p w14:paraId="78CBD462" w14:textId="3FFFA377" w:rsidR="000421CA" w:rsidRDefault="000421CA" w:rsidP="000421CA">
      <w:pPr>
        <w:spacing w:after="0"/>
      </w:pPr>
      <w:r>
        <w:rPr>
          <w:sz w:val="24"/>
        </w:rPr>
        <w:t>Karnati, Bhavya Geethika</w:t>
      </w:r>
    </w:p>
    <w:p w14:paraId="3E9FA0B3" w14:textId="4D2ED7C2" w:rsidR="000421CA" w:rsidRDefault="000421CA" w:rsidP="000421CA">
      <w:pPr>
        <w:spacing w:after="240"/>
      </w:pPr>
      <w:r>
        <w:rPr>
          <w:sz w:val="24"/>
        </w:rPr>
        <w:t xml:space="preserve">Mentor: </w:t>
      </w:r>
      <w:proofErr w:type="spellStart"/>
      <w:r>
        <w:rPr>
          <w:sz w:val="24"/>
        </w:rPr>
        <w:t>Elased</w:t>
      </w:r>
      <w:proofErr w:type="spellEnd"/>
      <w:r>
        <w:rPr>
          <w:sz w:val="24"/>
        </w:rPr>
        <w:t>, Khalid</w:t>
      </w:r>
    </w:p>
    <w:p w14:paraId="0CE4B87D" w14:textId="77777777" w:rsidR="000421CA" w:rsidRDefault="000421CA" w:rsidP="000421CA">
      <w:pPr>
        <w:spacing w:after="480"/>
      </w:pPr>
      <w:r>
        <w:t xml:space="preserve">Background: PPAR-γ agonists, commonly referred to as thiazolidinediones (TZDs), are insulin-sensitizing agents that improve glycemic control through enhanced peripheral glucose uptake and reduced hepatic gluconeogenesis. Following 2007 safety concerns about rosiglitazone, the </w:t>
      </w:r>
      <w:proofErr w:type="spellStart"/>
      <w:r>
        <w:t>PROspective</w:t>
      </w:r>
      <w:proofErr w:type="spellEnd"/>
      <w:r>
        <w:t xml:space="preserve"> pioglitazone Clinical Trial In Macrovascular Events (</w:t>
      </w:r>
      <w:proofErr w:type="spellStart"/>
      <w:r>
        <w:t>PROactive</w:t>
      </w:r>
      <w:proofErr w:type="spellEnd"/>
      <w:r>
        <w:t xml:space="preserve">) evaluated cardiovascular outcomes with pioglitazone in high-risk type 2 diabetes patients. Subsequently, the Insulin Resistance Intervention after Stroke (IRIS) trial extended these investigations to non-diabetic insulin-resistant patients. Objective: To comprehensively review the cardiovascular efficacy and safety profile of pioglitazone based on the findings of the </w:t>
      </w:r>
      <w:proofErr w:type="spellStart"/>
      <w:r>
        <w:t>PROactive</w:t>
      </w:r>
      <w:proofErr w:type="spellEnd"/>
      <w:r>
        <w:t xml:space="preserve"> and IRIS trial, including subgroup analyses and meta-analyses. Methods: Systematic review of the literature of primary </w:t>
      </w:r>
      <w:proofErr w:type="spellStart"/>
      <w:r>
        <w:t>PROactive</w:t>
      </w:r>
      <w:proofErr w:type="spellEnd"/>
      <w:r>
        <w:t xml:space="preserve"> and IRIS publications, subgroup analyses, and subsequent meta-analyses examining cardiovascular outcomes and adverse events. Results: </w:t>
      </w:r>
      <w:proofErr w:type="spellStart"/>
      <w:r>
        <w:t>PROactive</w:t>
      </w:r>
      <w:proofErr w:type="spellEnd"/>
      <w:r>
        <w:t xml:space="preserve"> enrolled 5,238 patients with type 2 diabetes and established macrovascular disease (mean 34.5-month follow-up). Pioglitazone demonstrated a significant 16% reduction in the main secondary composite endpoint of all-cause mortality, non-fatal myocardial infarction, or stroke (HR 0.84; 95% CI 0.72-0.98; p=0.027). In patients with prior myocardial infarction, recurrent MI was reduced by 28%. However, heart failure hospitalizations increased (11% vs. 8%) due to PPAR-γ-mediated fluid retention, though heart failure-related mortality remained similar. Additional adverse effects included weight gain (+3.6 kg) and peripheral edema (26.7% vs. 15.3%). The IRIS trial enrolled 3,876 insulin-resistant patients without diabetes following stroke or transient ischemic attack (median 4.8-year follow-up). Pioglitazone reduced stroke or MI by 24% (HR 0.76; 95% CI 0.62-0.93; p=0.007) and delayed new-onset diabetes by 52% (HR 0.48). Conclusions: Pioglitazone reduces major atherosclerotic events in both diabetic and insulin-resistant populations, as demonstrated by </w:t>
      </w:r>
      <w:proofErr w:type="spellStart"/>
      <w:r>
        <w:t>PROactive</w:t>
      </w:r>
      <w:proofErr w:type="spellEnd"/>
      <w:r>
        <w:t xml:space="preserve"> and IRIS trials. Its clinical utility requires careful patient selection that excludes those with heart failure, with monitoring of fluid retention. These landmark trials highlight the critical balance between reducing atherosclerotic risk and managing potential heart failure complications.</w:t>
      </w:r>
    </w:p>
    <w:p w14:paraId="3D86557F" w14:textId="77777777" w:rsidR="000421CA" w:rsidRDefault="000421CA" w:rsidP="000421CA">
      <w:r>
        <w:br w:type="page"/>
      </w:r>
    </w:p>
    <w:p w14:paraId="658ACAEB" w14:textId="6C33D89F" w:rsidR="000421CA" w:rsidRDefault="00441698" w:rsidP="000421CA">
      <w:pPr>
        <w:spacing w:after="0"/>
      </w:pPr>
      <w:r>
        <w:rPr>
          <w:sz w:val="24"/>
        </w:rPr>
        <w:lastRenderedPageBreak/>
        <w:t>Boonshoft School of Medicine</w:t>
      </w:r>
    </w:p>
    <w:p w14:paraId="189774C9" w14:textId="0CE77CDE" w:rsidR="000421CA" w:rsidRDefault="000421CA" w:rsidP="000421CA">
      <w:pPr>
        <w:spacing w:after="240"/>
      </w:pPr>
    </w:p>
    <w:p w14:paraId="03DD8FFB" w14:textId="77777777" w:rsidR="000421CA" w:rsidRDefault="000421CA" w:rsidP="000421CA">
      <w:pPr>
        <w:spacing w:after="0"/>
      </w:pPr>
      <w:r>
        <w:rPr>
          <w:sz w:val="24"/>
        </w:rPr>
        <w:t>Cadmium-Induced Cardio-Renal Damage</w:t>
      </w:r>
    </w:p>
    <w:p w14:paraId="65E93FE9" w14:textId="64C2E2E2" w:rsidR="000421CA" w:rsidRDefault="000421CA" w:rsidP="000421CA">
      <w:pPr>
        <w:spacing w:after="0"/>
      </w:pPr>
      <w:r>
        <w:rPr>
          <w:sz w:val="24"/>
        </w:rPr>
        <w:t>Karnati, Mahanthi</w:t>
      </w:r>
    </w:p>
    <w:p w14:paraId="4045C288" w14:textId="2386D910" w:rsidR="000421CA" w:rsidRDefault="000421CA" w:rsidP="000421CA">
      <w:pPr>
        <w:spacing w:after="240"/>
      </w:pPr>
      <w:r>
        <w:rPr>
          <w:sz w:val="24"/>
        </w:rPr>
        <w:t xml:space="preserve">Mentor: Khalid, </w:t>
      </w:r>
      <w:proofErr w:type="spellStart"/>
      <w:r>
        <w:rPr>
          <w:sz w:val="24"/>
        </w:rPr>
        <w:t>elased</w:t>
      </w:r>
      <w:proofErr w:type="spellEnd"/>
    </w:p>
    <w:p w14:paraId="4F44C308" w14:textId="77777777" w:rsidR="000421CA" w:rsidRDefault="000421CA" w:rsidP="000421CA">
      <w:pPr>
        <w:spacing w:after="480"/>
      </w:pPr>
      <w:r>
        <w:t>Background: Cadmium (Cd) is a toxic heavy metal with prolonged biological half-life (10-30 years) found in industrial emissions, cigarette smoke, and contaminated food and water. Due to minimal renal excretion, cadmium accumulates primarily in proximal tubular cells, causing nephrotoxicity and contributing to cardiovascular disease through interconnected pathophysiological mechanisms. Objective: To examine the molecular mechanisms underlying cadmium-induced cardio-renal toxicity, identify vulnerable populations, and review management strategies. Methods: Comprehensive literature review of experimental and epidemiological studies examining cadmium's cardio-renal effects, at-risk populations, and therapeutic interventions. Results: Chronic cadmium exposure induces multisystem toxicity through: (1) oxidative stress via reactive oxygen species generation and glutathione depletion, (2) mitochondrial dysfunction and apoptosis, (3) pro-inflammatory cytokine activation, and (4) disruption of calcium homeostasis and nitric oxide signaling. Renal manifestations include proximal tubular dysfunction, proteinuria, and progressive chronic kidney disease. Cardiovascular effects encompass endothelial dysfunction, arterial stiffness, hypertension, and increased atherosclerotic risk. The cardio-renal axis amplifies toxicity through bidirectional organ crosstalk. Vulnerable populations include occupational workers (battery manufacturing, metal smelting), smokers, postmenopausal women (decreased estrogen-mediated protection), individuals with iron or zinc deficiency (enhanced cadmium absorption), and patients with pre-existing chronic kidney disease. Management: Acute toxicity requires exposure cessation and supportive care. Chelation therapy shows limited efficacy and may increase renal toxicity. Chronic exposure management focuses on: (1) exposure elimination (smoking cessation, occupational safety), (2) nutritional supplementation (zinc, iron, calcium, selenium), (3) antioxidant therapy (N-acetylcysteine, vitamins E and C), and (4) cardio-renal protective medications (ACE inhibitors, ARBs). Conclusion: Cadmium poses significant public health risks through cardio-renal toxicity, particularly in occupationally exposed workers and smokers. Management emphasizes prevention, nutritional optimization, and organ-protective therapies. Future research should prioritize early detection biomarkers and interventions targeting oxidative stress pathways.</w:t>
      </w:r>
    </w:p>
    <w:p w14:paraId="1BFAEBC4" w14:textId="77777777" w:rsidR="000421CA" w:rsidRDefault="000421CA" w:rsidP="000421CA">
      <w:r>
        <w:br w:type="page"/>
      </w:r>
    </w:p>
    <w:p w14:paraId="04337A3A" w14:textId="4EF7B82C" w:rsidR="000421CA" w:rsidRDefault="00441698" w:rsidP="000421CA">
      <w:pPr>
        <w:spacing w:after="0"/>
      </w:pPr>
      <w:r>
        <w:rPr>
          <w:sz w:val="24"/>
        </w:rPr>
        <w:lastRenderedPageBreak/>
        <w:t>Boonshoft School of Medicine</w:t>
      </w:r>
    </w:p>
    <w:p w14:paraId="45E4A324" w14:textId="725FC284" w:rsidR="000421CA" w:rsidRDefault="000421CA" w:rsidP="000421CA">
      <w:pPr>
        <w:spacing w:after="240"/>
      </w:pPr>
    </w:p>
    <w:p w14:paraId="6E641B1D" w14:textId="77777777" w:rsidR="000421CA" w:rsidRDefault="000421CA" w:rsidP="000421CA">
      <w:pPr>
        <w:spacing w:after="0"/>
      </w:pPr>
      <w:r>
        <w:rPr>
          <w:sz w:val="24"/>
        </w:rPr>
        <w:t>Sleep and circadian rhythm: Gatekeepers of Health and Drivers of Disease</w:t>
      </w:r>
    </w:p>
    <w:p w14:paraId="117107D2" w14:textId="43B2FEAD" w:rsidR="000421CA" w:rsidRDefault="000421CA" w:rsidP="000421CA">
      <w:pPr>
        <w:spacing w:after="0"/>
      </w:pPr>
      <w:proofErr w:type="spellStart"/>
      <w:r>
        <w:rPr>
          <w:sz w:val="24"/>
        </w:rPr>
        <w:t>Karnayana</w:t>
      </w:r>
      <w:proofErr w:type="spellEnd"/>
      <w:r>
        <w:rPr>
          <w:sz w:val="24"/>
        </w:rPr>
        <w:t>, Dharani</w:t>
      </w:r>
    </w:p>
    <w:p w14:paraId="3845C680" w14:textId="44E10DD0" w:rsidR="000421CA" w:rsidRDefault="000421CA" w:rsidP="000421CA">
      <w:pPr>
        <w:spacing w:after="240"/>
      </w:pPr>
      <w:r>
        <w:rPr>
          <w:sz w:val="24"/>
        </w:rPr>
        <w:t xml:space="preserve">Mentor: </w:t>
      </w:r>
      <w:proofErr w:type="spellStart"/>
      <w:r>
        <w:rPr>
          <w:sz w:val="24"/>
        </w:rPr>
        <w:t>oroszi</w:t>
      </w:r>
      <w:proofErr w:type="spellEnd"/>
      <w:r>
        <w:rPr>
          <w:sz w:val="24"/>
        </w:rPr>
        <w:t>, Terry</w:t>
      </w:r>
    </w:p>
    <w:p w14:paraId="67DCF3B7" w14:textId="77777777" w:rsidR="000421CA" w:rsidRDefault="000421CA" w:rsidP="000421CA">
      <w:pPr>
        <w:spacing w:after="480"/>
      </w:pPr>
      <w:r>
        <w:t xml:space="preserve">ABSTRACT  Background: The Circadian rhythm disruption is increasingly pervasive in 24-hour societies, and one of the causes of metabolic, psychiatric and neurodegenerative disease.  Methods: This literature review was conducted utilizing the systematic, process-driven methodology developed by Oroszi. This protocol was selected to minimize author selection bias and ensure a data-driven identification of core literature through a repeatable, iterative process. PubMed database search was done systematically and methodologically by use of keyword Sleep and circadian rhythm that were further restricted by key words melatonin, mental health, shift work and chronotype until less than 20 core papers were obtained. They were categorized into 21 thematic sub-groups. Papers with recurrence in 2 or more sub-groups were classified as foundational papers (n=32) and additional papers were taken from the dataset to supplement the 30 foundation papers (n= ≤60).  Results: Foundational studies showed that CLOCK/BMAL1/PER/CRY transcriptional loops produce light and melatonin are the most important </w:t>
      </w:r>
      <w:proofErr w:type="spellStart"/>
      <w:r>
        <w:t>synchronisers</w:t>
      </w:r>
      <w:proofErr w:type="spellEnd"/>
      <w:r>
        <w:t>. Misalignment heightens the chances of depression (OR 2.3), diabetes (HR 1.44), menstrual irregularity (OR 1.9) and dementia (HR 2.6). Strong evidence shows timed light therapy (+42 min phase advance), melatonin (38 min phase shift per mg), digital CBT-I (-8 points ISI reduction), and chronotherapy (45% CV event Reduction).  Conclusions: The review is a data-based study that demonstrates circadian misalignment as a measurable, changeable determinant of health. Light-hygiene education, timed melatonin, and chronotherapy ought to be incorporated into the routine practice of sleep-medicine.</w:t>
      </w:r>
    </w:p>
    <w:p w14:paraId="227E9DCE" w14:textId="77777777" w:rsidR="000421CA" w:rsidRDefault="000421CA" w:rsidP="000421CA">
      <w:r>
        <w:br w:type="page"/>
      </w:r>
    </w:p>
    <w:p w14:paraId="6E78B802" w14:textId="7E4EA159" w:rsidR="000421CA" w:rsidRDefault="00441698" w:rsidP="000421CA">
      <w:pPr>
        <w:spacing w:after="0"/>
      </w:pPr>
      <w:r>
        <w:rPr>
          <w:sz w:val="24"/>
        </w:rPr>
        <w:lastRenderedPageBreak/>
        <w:t>Boonshoft School of Medicine</w:t>
      </w:r>
    </w:p>
    <w:p w14:paraId="28380C34" w14:textId="6FBA65B7" w:rsidR="000421CA" w:rsidRDefault="000421CA" w:rsidP="000421CA">
      <w:pPr>
        <w:spacing w:after="240"/>
      </w:pPr>
    </w:p>
    <w:p w14:paraId="69FDA1B1" w14:textId="77777777" w:rsidR="000421CA" w:rsidRDefault="000421CA" w:rsidP="000421CA">
      <w:pPr>
        <w:spacing w:after="0"/>
      </w:pPr>
      <w:r>
        <w:rPr>
          <w:sz w:val="24"/>
        </w:rPr>
        <w:t>Efficacy and safety of human papilloma virus vaccines in cervical cancer prevention</w:t>
      </w:r>
    </w:p>
    <w:p w14:paraId="4230EB3A" w14:textId="4C660198" w:rsidR="000421CA" w:rsidRDefault="000421CA" w:rsidP="000421CA">
      <w:pPr>
        <w:spacing w:after="0"/>
      </w:pPr>
      <w:proofErr w:type="spellStart"/>
      <w:r>
        <w:rPr>
          <w:sz w:val="24"/>
        </w:rPr>
        <w:t>Kasana</w:t>
      </w:r>
      <w:proofErr w:type="spellEnd"/>
      <w:r>
        <w:rPr>
          <w:sz w:val="24"/>
        </w:rPr>
        <w:t>, Meghana</w:t>
      </w:r>
    </w:p>
    <w:p w14:paraId="69BCE76F" w14:textId="0057F3DF" w:rsidR="000421CA" w:rsidRDefault="000421CA" w:rsidP="000421CA">
      <w:pPr>
        <w:spacing w:after="240"/>
      </w:pPr>
      <w:r>
        <w:rPr>
          <w:sz w:val="24"/>
        </w:rPr>
        <w:t xml:space="preserve">Mentor: Dr. Sulentic.,  </w:t>
      </w:r>
      <w:proofErr w:type="spellStart"/>
      <w:r>
        <w:rPr>
          <w:sz w:val="24"/>
        </w:rPr>
        <w:t>Dr.Sahu</w:t>
      </w:r>
      <w:proofErr w:type="spellEnd"/>
      <w:r>
        <w:rPr>
          <w:sz w:val="24"/>
        </w:rPr>
        <w:t xml:space="preserve"> Ravi .P, Dr. Sulentic.,  </w:t>
      </w:r>
      <w:proofErr w:type="spellStart"/>
      <w:r>
        <w:rPr>
          <w:sz w:val="24"/>
        </w:rPr>
        <w:t>Dr.Sahu</w:t>
      </w:r>
      <w:proofErr w:type="spellEnd"/>
      <w:r>
        <w:rPr>
          <w:sz w:val="24"/>
        </w:rPr>
        <w:t xml:space="preserve"> Ravi .P</w:t>
      </w:r>
    </w:p>
    <w:p w14:paraId="0F078596" w14:textId="77777777" w:rsidR="000421CA" w:rsidRDefault="000421CA" w:rsidP="000421CA">
      <w:pPr>
        <w:spacing w:after="480"/>
      </w:pPr>
      <w:r>
        <w:t xml:space="preserve">Abstract: Human papillomavirus (HPV) infection is one of the most common sexually transmitted infections worldwide and is the primary cause of cervical cancer. Persistent infection with high-risk HPV types, particularly HPV-16 and HPV-18, drives carcinogenesis through the viral oncoproteins E6 and E7, which inactivate the tumor suppressors p53 and </w:t>
      </w:r>
      <w:proofErr w:type="spellStart"/>
      <w:r>
        <w:t>pRb</w:t>
      </w:r>
      <w:proofErr w:type="spellEnd"/>
      <w:r>
        <w:t xml:space="preserve">, leading to uncontrolled cellular proliferation and malignant transformation. Vaccination against HPV represents a major public health intervention to prevent infection and its associated diseases. This review evaluates the efficacy and safety of currently licensed HPV vaccines, including bivalent, quadrivalent, and </w:t>
      </w:r>
      <w:proofErr w:type="spellStart"/>
      <w:r>
        <w:t>ninevalent</w:t>
      </w:r>
      <w:proofErr w:type="spellEnd"/>
      <w:r>
        <w:t xml:space="preserve"> formulations, by synthesizing evidence from randomized clinical trials and meta-analyses. Vaccine efficacy is assessed in terms of prevention of persistent HPV infection, cervical intraepithelial neoplasia (CIN), and genital warts, with emphasis on protection against oncogenic HPV strains. HPV vaccines prevent disease by inducing neutralizing antibodies against the L1 capsid protein, thereby blocking viral entry into host epithelial cells and preventing initial infection. HPV vaccines have demonstrated a favorable safety profile in clinical trials and observational studies, with no major adverse events reported in vaccinated populations. Considering that cervical cancer is the third most common cancer worldwide, this review aims to provide a comprehensive evaluation of the efficacy and safety of HPV vaccines in cervical cancer prevention. Key words: Human papillomavirus, HPV vaccination, Cervical cancer, Vaccine safety and efficacy, High-risk HPV genotypes</w:t>
      </w:r>
    </w:p>
    <w:p w14:paraId="2E9C936D" w14:textId="77777777" w:rsidR="000421CA" w:rsidRDefault="000421CA" w:rsidP="000421CA">
      <w:r>
        <w:br w:type="page"/>
      </w:r>
    </w:p>
    <w:p w14:paraId="47D07E76" w14:textId="33F061DD" w:rsidR="000421CA" w:rsidRDefault="00441698" w:rsidP="000421CA">
      <w:pPr>
        <w:spacing w:after="0"/>
      </w:pPr>
      <w:r>
        <w:rPr>
          <w:sz w:val="24"/>
        </w:rPr>
        <w:lastRenderedPageBreak/>
        <w:t>Boonshoft School of Medicine</w:t>
      </w:r>
    </w:p>
    <w:p w14:paraId="249041BF" w14:textId="0DA4E804" w:rsidR="000421CA" w:rsidRDefault="000421CA" w:rsidP="000421CA">
      <w:pPr>
        <w:spacing w:after="240"/>
      </w:pPr>
    </w:p>
    <w:p w14:paraId="51B36AE7" w14:textId="77777777" w:rsidR="000421CA" w:rsidRDefault="000421CA" w:rsidP="000421CA">
      <w:pPr>
        <w:spacing w:after="0"/>
      </w:pPr>
      <w:r>
        <w:rPr>
          <w:sz w:val="24"/>
        </w:rPr>
        <w:t>Oral GLP 1 Receptor Agonists for Obesity : Comparative Efficacy , Safety and Adherence Outcomes</w:t>
      </w:r>
    </w:p>
    <w:p w14:paraId="6B18FA0E" w14:textId="1707DEAF" w:rsidR="000421CA" w:rsidRDefault="000421CA" w:rsidP="000421CA">
      <w:pPr>
        <w:spacing w:after="0"/>
      </w:pPr>
      <w:proofErr w:type="spellStart"/>
      <w:r>
        <w:rPr>
          <w:sz w:val="24"/>
        </w:rPr>
        <w:t>Katkuri</w:t>
      </w:r>
      <w:proofErr w:type="spellEnd"/>
      <w:r>
        <w:rPr>
          <w:sz w:val="24"/>
        </w:rPr>
        <w:t>, Rithika</w:t>
      </w:r>
    </w:p>
    <w:p w14:paraId="383DD8A2" w14:textId="23F690F4" w:rsidR="000421CA" w:rsidRDefault="000421CA" w:rsidP="000421CA">
      <w:pPr>
        <w:spacing w:after="240"/>
      </w:pPr>
      <w:r>
        <w:rPr>
          <w:sz w:val="24"/>
        </w:rPr>
        <w:t xml:space="preserve">Mentor: </w:t>
      </w:r>
      <w:proofErr w:type="spellStart"/>
      <w:r>
        <w:rPr>
          <w:sz w:val="24"/>
        </w:rPr>
        <w:t>Elased</w:t>
      </w:r>
      <w:proofErr w:type="spellEnd"/>
      <w:r>
        <w:rPr>
          <w:sz w:val="24"/>
        </w:rPr>
        <w:t>, Khalid</w:t>
      </w:r>
    </w:p>
    <w:p w14:paraId="37AC87C2" w14:textId="77777777" w:rsidR="000421CA" w:rsidRDefault="000421CA" w:rsidP="000421CA">
      <w:pPr>
        <w:spacing w:after="480"/>
      </w:pPr>
      <w:r>
        <w:t>Oral GLP-1 Receptor Agonists for Obesity: Comparative Efficacy, Safety, and Adherence Outcomes  Background: Glucagon-like peptide-1 receptor agonists (GLP-1 RAs) have emerged as highly effective pharmacotherapies for obesity. While injectable formulations demonstrate robust efficacy, oral alternatives may improve patient acceptance and long-term adherence. However, no head-to-head randomized controlled trials directly comparing oral and injectable GLP-1 RAs for obesity have been published, necessitating indirect cross-trial comparisons. Objective: To synthesize available evidence comparing oral GLP-1 RAs (</w:t>
      </w:r>
      <w:proofErr w:type="spellStart"/>
      <w:r>
        <w:t>orforglipron</w:t>
      </w:r>
      <w:proofErr w:type="spellEnd"/>
      <w:r>
        <w:t xml:space="preserve"> and oral semaglutide) with injectable agents regarding efficacy, safety, and patient adherence outcomes. Methods: A comprehensive literature review examined clinical trial data, systematic reviews, and meta-analyses evaluating oral versus injectable GLP-1 RAs for obesity management. Results: Cross-trial comparisons suggest </w:t>
      </w:r>
      <w:proofErr w:type="spellStart"/>
      <w:r>
        <w:t>orforglipron</w:t>
      </w:r>
      <w:proofErr w:type="spellEnd"/>
      <w:r>
        <w:t xml:space="preserve"> achieves weight loss approaching injectable semaglutide. In phase 3 trials, </w:t>
      </w:r>
      <w:proofErr w:type="spellStart"/>
      <w:r>
        <w:t>orforglipron</w:t>
      </w:r>
      <w:proofErr w:type="spellEnd"/>
      <w:r>
        <w:t xml:space="preserve"> 36 mg produced 11.2% mean weight reduction at 72 weeks versus approximately 15% with injectable semaglutide 2.4 mg at 68 weeks and over 20% with tirzepatide 15 mg at 72 weeks. Oral semaglutide 50 mg demonstrated weight loss similar to injectable semaglutide. Gastrointestinal adverse events were comparable across formulations, with treatment discontinuation rates of 5-10% with </w:t>
      </w:r>
      <w:proofErr w:type="spellStart"/>
      <w:r>
        <w:t>orforglipron</w:t>
      </w:r>
      <w:proofErr w:type="spellEnd"/>
      <w:r>
        <w:t xml:space="preserve"> versus similar rates with injectable agents. </w:t>
      </w:r>
      <w:proofErr w:type="spellStart"/>
      <w:r>
        <w:t>Orforglipron's</w:t>
      </w:r>
      <w:proofErr w:type="spellEnd"/>
      <w:r>
        <w:t xml:space="preserve"> 79.1% oral bioavailability eliminates the strict fasting requirements of oral semaglutide (2% bioavailability), potentially improving real-world adherence. Patient preference studies indicate that administration complexity significantly influences treatment selection, with oral semaglutide's timing restrictions reducing its preference advantage over weekly injectables. Conclusions: Oral GLP-1 RAs demonstrate efficacy approaching injectable formulations with comparable safety profiles. </w:t>
      </w:r>
      <w:proofErr w:type="spellStart"/>
      <w:r>
        <w:t>Orforglipron's</w:t>
      </w:r>
      <w:proofErr w:type="spellEnd"/>
      <w:r>
        <w:t xml:space="preserve"> simplified administration may enhance adherence compared to oral semaglutide. Head-to-head trials are needed to definitively establish comparative effectiveness and long-term cardiovascular outcomes.</w:t>
      </w:r>
    </w:p>
    <w:p w14:paraId="70E0ED33" w14:textId="77777777" w:rsidR="000421CA" w:rsidRDefault="000421CA" w:rsidP="000421CA">
      <w:r>
        <w:br w:type="page"/>
      </w:r>
    </w:p>
    <w:p w14:paraId="7FF8A18E" w14:textId="5B99BC66" w:rsidR="000421CA" w:rsidRDefault="00004C7D" w:rsidP="000421CA">
      <w:pPr>
        <w:spacing w:after="0"/>
      </w:pPr>
      <w:r>
        <w:rPr>
          <w:sz w:val="24"/>
        </w:rPr>
        <w:lastRenderedPageBreak/>
        <w:t>College of Science and Mathematics</w:t>
      </w:r>
    </w:p>
    <w:p w14:paraId="005AB150" w14:textId="760AE1C3" w:rsidR="000421CA" w:rsidRDefault="000421CA" w:rsidP="000421CA">
      <w:pPr>
        <w:spacing w:after="240"/>
      </w:pPr>
    </w:p>
    <w:p w14:paraId="659785C6" w14:textId="77777777" w:rsidR="000421CA" w:rsidRDefault="000421CA" w:rsidP="000421CA">
      <w:pPr>
        <w:spacing w:after="0"/>
      </w:pPr>
      <w:r>
        <w:rPr>
          <w:sz w:val="24"/>
        </w:rPr>
        <w:t>Lipin1 Regulates Satellite Cell Function and Skeletal Muscle Regeneration in Dystrophic Muscle</w:t>
      </w:r>
    </w:p>
    <w:p w14:paraId="00F3E71B" w14:textId="3981D29D" w:rsidR="000421CA" w:rsidRDefault="000421CA" w:rsidP="000421CA">
      <w:pPr>
        <w:spacing w:after="0"/>
      </w:pPr>
      <w:r>
        <w:rPr>
          <w:sz w:val="24"/>
        </w:rPr>
        <w:t>Khalid, Nishat</w:t>
      </w:r>
    </w:p>
    <w:p w14:paraId="27F5B90C" w14:textId="4479B2F7" w:rsidR="000421CA" w:rsidRDefault="000421CA" w:rsidP="000421CA">
      <w:pPr>
        <w:spacing w:after="240"/>
      </w:pPr>
      <w:r>
        <w:rPr>
          <w:sz w:val="24"/>
        </w:rPr>
        <w:t>Mentor: Ren, Hongmei Ren</w:t>
      </w:r>
    </w:p>
    <w:p w14:paraId="18C8CAB8" w14:textId="77777777" w:rsidR="000421CA" w:rsidRDefault="000421CA" w:rsidP="000421CA">
      <w:pPr>
        <w:spacing w:after="480"/>
      </w:pPr>
      <w:r>
        <w:t xml:space="preserve">Lipin1 Regulates Satellite Cell Function and Skeletal Muscle Regeneration in Dystrophic Muscle Nishat Khalid and Hongmei Ren Abstract Impaired skeletal muscle regeneration is a hallmark of Duchenne Muscular Dystrophy (DMD), a progressive disease caused by mutations in the dystrophin gene. Satellite cells, the resident muscle stem cells, are essential for muscle repair due to their capacity for self-renewal and differentiation. Proper regulation of satellite cell proliferation and differentiation is critical for effective muscle regeneration and represents a potential therapeutic target for DMD.  Our previous studies identified lipin1, a phosphatidic acid phosphatase, as a key regulator of skeletal muscle regeneration, with its deficiency leading to prolonged and incomplete repair. Lipin1 also promotes extracellular signal-regulated kinase (ERK) activation and Cyclin D-mediated cell cycle progression, processes required for myoblast activation and fusion.  To investigate the effects of lipin1 upregulation on dystrophic muscle regeneration, we used our unique mdx:lipin1 transgenic mice and found that increased lipin1 reduces muscle damage, mitigates dystrophic pathology, and is associated with decreased satellite cell abundance. To further examine lipin1’s role in satellite cells, we generated a tamoxifen-inducible, Pax7-specific lipin1 knockout (KO) mouse model. Deletion of lipin1 in Pax7-positive cells led to reduced satellite cell numbers and impaired skeletal muscle regeneration, with defective repair observed at days 3 and 14 following </w:t>
      </w:r>
      <w:proofErr w:type="spellStart"/>
      <w:r>
        <w:t>BaCl</w:t>
      </w:r>
      <w:proofErr w:type="spellEnd"/>
      <w:r>
        <w:t>₂-induced injury.  Together, these findings demonstrate that lipin1 is required to maintain satellite cell populations and regulate skeletal muscle regeneration. Modulation of lipin1 activity may therefore represent a promising therapeutic strategy to enhance muscle repair and mitigate disease progression in DMD.</w:t>
      </w:r>
    </w:p>
    <w:p w14:paraId="6A15AD26" w14:textId="77777777" w:rsidR="000421CA" w:rsidRDefault="000421CA" w:rsidP="000421CA">
      <w:r>
        <w:br w:type="page"/>
      </w:r>
    </w:p>
    <w:p w14:paraId="5CA08B1E" w14:textId="53C87846" w:rsidR="000421CA" w:rsidRDefault="00004C7D" w:rsidP="000421CA">
      <w:pPr>
        <w:spacing w:after="0"/>
      </w:pPr>
      <w:r>
        <w:rPr>
          <w:sz w:val="24"/>
        </w:rPr>
        <w:lastRenderedPageBreak/>
        <w:t>College of Science and Mathematics</w:t>
      </w:r>
    </w:p>
    <w:p w14:paraId="1605ED3F" w14:textId="10E4B405" w:rsidR="000421CA" w:rsidRDefault="000421CA" w:rsidP="000421CA">
      <w:pPr>
        <w:spacing w:after="240"/>
      </w:pPr>
    </w:p>
    <w:p w14:paraId="38A52FE4" w14:textId="77777777" w:rsidR="000421CA" w:rsidRDefault="000421CA" w:rsidP="000421CA">
      <w:pPr>
        <w:spacing w:after="0"/>
      </w:pPr>
      <w:r>
        <w:rPr>
          <w:sz w:val="24"/>
        </w:rPr>
        <w:t>Analyzing the Square Wave Anodic Stripping Voltammetry of Heavy Metal Ions Such As Antimony.</w:t>
      </w:r>
    </w:p>
    <w:p w14:paraId="342B047D" w14:textId="7FE715D3" w:rsidR="000421CA" w:rsidRDefault="000421CA" w:rsidP="000421CA">
      <w:pPr>
        <w:spacing w:after="0"/>
      </w:pPr>
      <w:r>
        <w:rPr>
          <w:sz w:val="24"/>
        </w:rPr>
        <w:t>Khan, Kinza</w:t>
      </w:r>
    </w:p>
    <w:p w14:paraId="7157EDE6" w14:textId="5F3D2B3F" w:rsidR="000421CA" w:rsidRDefault="000421CA" w:rsidP="000421CA">
      <w:pPr>
        <w:spacing w:after="240"/>
      </w:pPr>
      <w:r>
        <w:rPr>
          <w:sz w:val="24"/>
        </w:rPr>
        <w:t>Mentor: Lunsford, Suzanne</w:t>
      </w:r>
    </w:p>
    <w:p w14:paraId="554E7D20" w14:textId="77777777" w:rsidR="000421CA" w:rsidRDefault="000421CA" w:rsidP="000421CA">
      <w:pPr>
        <w:spacing w:after="480"/>
      </w:pPr>
      <w:r>
        <w:t>Antimony exhibits significant ecotoxicity and is toxic to humans and animals at high concentrations, showing notable similarities to the harmful effects of arsenic. Due to these concerns, antimony and its compounds are classified as priority pollutants by the United States Environmental Protection Agency and the Council of the European Communities. These agencies have established a maximum contaminant level for antimony in drinking water of 5–6 µg L⁻¹. Consequently, the development of sensitive and selective analytical methods for determining antimony in various samples is of considerable importance.  The determination of antimony using highly expensive instrumentation such as inductively coupled plasma mass Spectrometry, high performance liquid chromatography, and atomic absorption spectroscopy require many laborious steps to prepare the sample to be analyzed and sometimes inadequate due to time and possible contamination from sample preparation.  Stripping voltammetry/chronopotentiometry is widely regarded as one of the most convenient techniques for the determination of trace metal ions. Owing to its unique ability to preconcentrate analytes at or within the surface of the working electrode, electrochemical stripping analysis enables the quantification of, for example, toxic metal ions at low concentrations. The performance of a square wave anodic stripping voltammetry technique will be illustrated comparing various working electrodes such as glassy carbon electrodes, platinum electrodes and gold electrodes to detect antimony (III) which is more toxic than the pentavalent species of antimony.</w:t>
      </w:r>
    </w:p>
    <w:p w14:paraId="3F23161B" w14:textId="77777777" w:rsidR="000421CA" w:rsidRDefault="000421CA" w:rsidP="000421CA">
      <w:r>
        <w:br w:type="page"/>
      </w:r>
    </w:p>
    <w:p w14:paraId="4013EFB6" w14:textId="3A01412C" w:rsidR="000421CA" w:rsidRDefault="00004C7D" w:rsidP="000421CA">
      <w:pPr>
        <w:spacing w:after="0"/>
      </w:pPr>
      <w:r>
        <w:rPr>
          <w:sz w:val="24"/>
        </w:rPr>
        <w:lastRenderedPageBreak/>
        <w:t>College of Science and Mathematics</w:t>
      </w:r>
    </w:p>
    <w:p w14:paraId="57DFF427" w14:textId="284317D5" w:rsidR="000421CA" w:rsidRDefault="000421CA" w:rsidP="000421CA">
      <w:pPr>
        <w:spacing w:after="240"/>
      </w:pPr>
    </w:p>
    <w:p w14:paraId="1D3ACE7D" w14:textId="77777777" w:rsidR="000421CA" w:rsidRDefault="000421CA" w:rsidP="000421CA">
      <w:pPr>
        <w:spacing w:after="0"/>
      </w:pPr>
      <w:r>
        <w:rPr>
          <w:sz w:val="24"/>
        </w:rPr>
        <w:t>Beyond MS-222: Evaluating Alternative Anesthetics for Stress and Recovery in American Bullfrog Tadpoles</w:t>
      </w:r>
    </w:p>
    <w:p w14:paraId="741065A0" w14:textId="31473E26" w:rsidR="000421CA" w:rsidRDefault="000421CA" w:rsidP="000421CA">
      <w:pPr>
        <w:spacing w:after="0"/>
      </w:pPr>
      <w:proofErr w:type="spellStart"/>
      <w:r>
        <w:rPr>
          <w:sz w:val="24"/>
        </w:rPr>
        <w:t>Khebreesh</w:t>
      </w:r>
      <w:proofErr w:type="spellEnd"/>
      <w:r>
        <w:rPr>
          <w:sz w:val="24"/>
        </w:rPr>
        <w:t xml:space="preserve">, </w:t>
      </w:r>
      <w:proofErr w:type="spellStart"/>
      <w:r>
        <w:rPr>
          <w:sz w:val="24"/>
        </w:rPr>
        <w:t>Togaa</w:t>
      </w:r>
      <w:proofErr w:type="spellEnd"/>
      <w:r>
        <w:rPr>
          <w:sz w:val="24"/>
        </w:rPr>
        <w:t xml:space="preserve"> Khalifa</w:t>
      </w:r>
    </w:p>
    <w:p w14:paraId="3417B19F" w14:textId="15280CB4" w:rsidR="000421CA" w:rsidRDefault="000421CA" w:rsidP="000421CA">
      <w:pPr>
        <w:spacing w:after="240"/>
      </w:pPr>
      <w:r>
        <w:rPr>
          <w:sz w:val="24"/>
        </w:rPr>
        <w:t>Mentor: Hartzler, Lynn</w:t>
      </w:r>
    </w:p>
    <w:p w14:paraId="0C05FC67" w14:textId="77777777" w:rsidR="000421CA" w:rsidRDefault="000421CA" w:rsidP="000421CA">
      <w:pPr>
        <w:spacing w:after="480"/>
      </w:pPr>
      <w:r>
        <w:t xml:space="preserve">Understanding the neural control of breathing during development is critical for identifying mechanisms underlying respiratory disorders such as sudden infant death syndrome (SIDS). The American bullfrog tadpole, Lithobates </w:t>
      </w:r>
      <w:proofErr w:type="spellStart"/>
      <w:r>
        <w:t>catesbeianus</w:t>
      </w:r>
      <w:proofErr w:type="spellEnd"/>
      <w:r>
        <w:t xml:space="preserve">, serves as a model organism to examine the development of chemosensory neurons in the control of ventilation. Currently, tricaine </w:t>
      </w:r>
      <w:proofErr w:type="spellStart"/>
      <w:r>
        <w:t>methanesulfonate</w:t>
      </w:r>
      <w:proofErr w:type="spellEnd"/>
      <w:r>
        <w:t xml:space="preserve"> (MS-222) is the veterinary-approved anesthetic agent for use in aquatic vertebrates; however, MS-222 strongly inhibits fictive respiratory frequency (</w:t>
      </w:r>
      <w:proofErr w:type="spellStart"/>
      <w:r>
        <w:t>fR</w:t>
      </w:r>
      <w:proofErr w:type="spellEnd"/>
      <w:r>
        <w:t xml:space="preserve">) in isolated bullfrog brainstem preparations (Hedrick &amp; Winmill, 2003). Therefore, the use of MS-222 remains a constraint in interpretation of respiratory neurophysiology data. In our pilot study, we investigated alternative anesthetic agents that could produce an anesthetic state while minimizing suppression of neuronal activity. After recovery from anesthesia, we used behavior choice as an index of stress associated with four anesthetics: MS-222, isoflurane, propofol, and hypothermia, as well as sham and unhandled control groups. Behavioral analyses were conducted using a dual light/dark and open-field paradigm to measure anxiety-like behavioral responses. Statistical comparisons of treatment groups indicated significant effects of anesthetic exposure on behavior. One-way ANOVAs with post </w:t>
      </w:r>
      <w:proofErr w:type="spellStart"/>
      <w:r>
        <w:t>hoccomparisons</w:t>
      </w:r>
      <w:proofErr w:type="spellEnd"/>
      <w:r>
        <w:t xml:space="preserve"> of all treatment groups were conducted to determine the extent of time spent in dark versus light zones and movement between the dark and light zones, locomotor activity (distance traveled and movement speed), and time course of behavioral recovery to baseline locomotion following anesthetic exposure. Future directions include measurement of stress hormone (corticosterone) levels and fictive respiratory frequency, which inform how well these anesthetic agents preserve neuronal recording integrity. Our study contributes to the goal of identifying anesthetic protocols that minimize stress and advance methodology in developmental neuro-respiratory research.</w:t>
      </w:r>
    </w:p>
    <w:p w14:paraId="5CB0B483" w14:textId="77777777" w:rsidR="000421CA" w:rsidRDefault="000421CA" w:rsidP="000421CA">
      <w:r>
        <w:br w:type="page"/>
      </w:r>
    </w:p>
    <w:p w14:paraId="0209EF2B" w14:textId="481BA76E" w:rsidR="000421CA" w:rsidRDefault="00004C7D" w:rsidP="000421CA">
      <w:pPr>
        <w:spacing w:after="0"/>
      </w:pPr>
      <w:r>
        <w:rPr>
          <w:sz w:val="24"/>
        </w:rPr>
        <w:lastRenderedPageBreak/>
        <w:t>College of Science and Mathematics</w:t>
      </w:r>
    </w:p>
    <w:p w14:paraId="5228F579" w14:textId="69B19E58" w:rsidR="000421CA" w:rsidRDefault="000421CA" w:rsidP="000421CA">
      <w:pPr>
        <w:spacing w:after="240"/>
      </w:pPr>
    </w:p>
    <w:p w14:paraId="1B306A56" w14:textId="77777777" w:rsidR="000421CA" w:rsidRDefault="000421CA" w:rsidP="000421CA">
      <w:pPr>
        <w:spacing w:after="0"/>
      </w:pPr>
      <w:r>
        <w:rPr>
          <w:sz w:val="24"/>
        </w:rPr>
        <w:t>Does perfluorooctanoic acid (PFOA) exposure alter antibody production and gene expression in human B cells?</w:t>
      </w:r>
    </w:p>
    <w:p w14:paraId="2B6C1D4A" w14:textId="141E7D98" w:rsidR="000421CA" w:rsidRDefault="000421CA" w:rsidP="000421CA">
      <w:pPr>
        <w:spacing w:after="0"/>
      </w:pPr>
      <w:proofErr w:type="spellStart"/>
      <w:r>
        <w:rPr>
          <w:sz w:val="24"/>
        </w:rPr>
        <w:t>Komatineni</w:t>
      </w:r>
      <w:proofErr w:type="spellEnd"/>
      <w:r>
        <w:rPr>
          <w:sz w:val="24"/>
        </w:rPr>
        <w:t>, Poorna Pranavi</w:t>
      </w:r>
    </w:p>
    <w:p w14:paraId="6DAC74A0" w14:textId="70C4EBC9" w:rsidR="000421CA" w:rsidRDefault="000421CA" w:rsidP="000421CA">
      <w:pPr>
        <w:spacing w:after="240"/>
      </w:pPr>
      <w:r>
        <w:rPr>
          <w:sz w:val="24"/>
        </w:rPr>
        <w:t>Mentor: Sulentic, Dr. Courtney</w:t>
      </w:r>
    </w:p>
    <w:p w14:paraId="0C0308AD" w14:textId="77777777" w:rsidR="000421CA" w:rsidRDefault="000421CA" w:rsidP="000421CA">
      <w:pPr>
        <w:spacing w:after="480"/>
      </w:pPr>
      <w:r>
        <w:t>Perfluorooctanoic acid (PFOA) is a persistent, bioaccumulative environmental contaminant widely detected in human populations. Due to its resistance to degradation, chronic exposure to PFOA has been associated with immune dysregulation and reduced vaccine responsiveness. However, the direct molecular effects of PFOA on human antibody production and immunoglobulin (Ig) gene transcription remain largely unexplored.  This study investigates the concentration-dependent effects of PFOA on antibody secretion and Ig gene expression using the human B-cell line CL-01, which is capable of producing multiple antibody isotypes, including IgM, IgG, and IgA. We hypothesize that PFOA exposure suppresses antibody production by inhibiting transcription of the Ig heavy chain gene. To test this, CL-01 cells will be exposed to increasing concentrations of PFOA, followed by quantification of secreted immunoglobulins and analysis of Ig gene transcription levels.  By understanding how PFOA reduces antibody production at the gene level, this research will help clarify how environmental contaminants weaken the immune system and may support improved public health risk assessment.</w:t>
      </w:r>
    </w:p>
    <w:p w14:paraId="6B70938F" w14:textId="77777777" w:rsidR="000421CA" w:rsidRDefault="000421CA" w:rsidP="000421CA">
      <w:r>
        <w:br w:type="page"/>
      </w:r>
    </w:p>
    <w:p w14:paraId="58D9D66D" w14:textId="6CE7F30B" w:rsidR="000421CA" w:rsidRDefault="00441698" w:rsidP="000421CA">
      <w:pPr>
        <w:spacing w:after="0"/>
      </w:pPr>
      <w:r>
        <w:rPr>
          <w:sz w:val="24"/>
        </w:rPr>
        <w:lastRenderedPageBreak/>
        <w:t>Boonshoft School of Medicine</w:t>
      </w:r>
    </w:p>
    <w:p w14:paraId="3803E8A4" w14:textId="77777777" w:rsidR="000421CA" w:rsidRDefault="000421CA" w:rsidP="000421CA">
      <w:pPr>
        <w:spacing w:after="240"/>
      </w:pPr>
      <w:r>
        <w:rPr>
          <w:sz w:val="24"/>
        </w:rPr>
        <w:t>Department of Pharmacology and Toxicology</w:t>
      </w:r>
    </w:p>
    <w:p w14:paraId="7C2B30CE" w14:textId="77777777" w:rsidR="000421CA" w:rsidRDefault="000421CA" w:rsidP="000421CA">
      <w:pPr>
        <w:spacing w:after="0"/>
      </w:pPr>
      <w:proofErr w:type="spellStart"/>
      <w:r>
        <w:rPr>
          <w:sz w:val="24"/>
        </w:rPr>
        <w:t>Finerenone</w:t>
      </w:r>
      <w:proofErr w:type="spellEnd"/>
      <w:r>
        <w:rPr>
          <w:sz w:val="24"/>
        </w:rPr>
        <w:t>: A Novel Non-Steroidal Mineralocorticoid Receptor Antagonist in Heart Failure Management.</w:t>
      </w:r>
    </w:p>
    <w:p w14:paraId="1FFC51D0" w14:textId="77777777" w:rsidR="000421CA" w:rsidRDefault="000421CA" w:rsidP="000421CA">
      <w:pPr>
        <w:spacing w:after="0"/>
      </w:pPr>
      <w:r>
        <w:rPr>
          <w:sz w:val="24"/>
        </w:rPr>
        <w:t xml:space="preserve"> </w:t>
      </w:r>
      <w:proofErr w:type="spellStart"/>
      <w:r>
        <w:rPr>
          <w:sz w:val="24"/>
        </w:rPr>
        <w:t>Kuntamukkala</w:t>
      </w:r>
      <w:proofErr w:type="spellEnd"/>
      <w:r>
        <w:rPr>
          <w:sz w:val="24"/>
        </w:rPr>
        <w:t>, Sai Chand</w:t>
      </w:r>
    </w:p>
    <w:p w14:paraId="2DDB5F85" w14:textId="77777777" w:rsidR="000421CA" w:rsidRDefault="000421CA" w:rsidP="000421CA">
      <w:pPr>
        <w:spacing w:after="240"/>
      </w:pPr>
      <w:r>
        <w:rPr>
          <w:sz w:val="24"/>
        </w:rPr>
        <w:t xml:space="preserve"> Mentor: </w:t>
      </w:r>
      <w:proofErr w:type="spellStart"/>
      <w:r>
        <w:rPr>
          <w:sz w:val="24"/>
        </w:rPr>
        <w:t>Elased</w:t>
      </w:r>
      <w:proofErr w:type="spellEnd"/>
      <w:r>
        <w:rPr>
          <w:sz w:val="24"/>
        </w:rPr>
        <w:t>, Khalid</w:t>
      </w:r>
    </w:p>
    <w:p w14:paraId="53EC4BAE" w14:textId="77777777" w:rsidR="000421CA" w:rsidRDefault="000421CA" w:rsidP="000421CA">
      <w:pPr>
        <w:spacing w:after="480"/>
      </w:pPr>
      <w:r>
        <w:t xml:space="preserve">Background: Heart failure (HF) is a progressive syndrome characterized by pathological inflammation, fibrosis, and adverse cardiac remodeling. Mineralocorticoid receptor (MR) overactivation centrally mediates these damaging processes. While steroidal MR antagonists (MRAs), such as spironolactone and Eplerenone, improve clinical outcomes, their broader receptor affinity and associated risks of significant hyperkalemia and renal impairment often limit clinical use. </w:t>
      </w:r>
      <w:proofErr w:type="spellStart"/>
      <w:r>
        <w:t>Finerenone</w:t>
      </w:r>
      <w:proofErr w:type="spellEnd"/>
      <w:r>
        <w:t xml:space="preserve">, a novel, selective non-steroidal MRA, was designed to provide potent MR blockade with an improved therapeutic index, potentially overcoming the limitations of traditional agents.   Aim: This presentation synthesizes contemporary clinical evidence for </w:t>
      </w:r>
      <w:proofErr w:type="spellStart"/>
      <w:r>
        <w:t>Finerenone</w:t>
      </w:r>
      <w:proofErr w:type="spellEnd"/>
      <w:r>
        <w:t xml:space="preserve"> in HF, focusing on efficacy and safety data from the FINEARTS-HF trial and its role in patients with preserved or mildly reduced ejection fraction.   Methods: FINEARTS-HF was a global, randomized, double-blind, placebo-controlled trial enrolling 6,001 symptomatic HF patients with left ventricular ejection fraction (LVEF) ≥40% on guideline-directed therapy. Participants received </w:t>
      </w:r>
      <w:proofErr w:type="spellStart"/>
      <w:r>
        <w:t>finerenone</w:t>
      </w:r>
      <w:proofErr w:type="spellEnd"/>
      <w:r>
        <w:t xml:space="preserve"> (titrated to 40 mg once daily) or placebo and were followed for a median of 30 months. The primary endpoint was a hierarchical composite of cardiovascular death and total worsening HF events (hospitalizations or urgent visits), with systematic monitoring of serum potassium and renal function.   Results: </w:t>
      </w:r>
      <w:proofErr w:type="spellStart"/>
      <w:r>
        <w:t>Finerenone</w:t>
      </w:r>
      <w:proofErr w:type="spellEnd"/>
      <w:r>
        <w:t xml:space="preserve"> significantly reduced the primary composite endpoint versus placebo, driven mainly by a reduction in recurrent worsening HF events, while cardiovascular mortality alone was not significantly different between groups. Hyperkalemia was more frequent with </w:t>
      </w:r>
      <w:proofErr w:type="spellStart"/>
      <w:r>
        <w:t>Finerenone</w:t>
      </w:r>
      <w:proofErr w:type="spellEnd"/>
      <w:r>
        <w:t xml:space="preserve"> but was generally mild to moderate, infrequently led to discontinuation, and was manageable with monitoring and dose adjustment. Early, modest declines in estimated glomerular filtration rate typically stabilized over time.   Conclusion: </w:t>
      </w:r>
      <w:proofErr w:type="spellStart"/>
      <w:r>
        <w:t>Finerenone</w:t>
      </w:r>
      <w:proofErr w:type="spellEnd"/>
      <w:r>
        <w:t xml:space="preserve"> represents an important advancement in MR antagonism, offering robust reduction in HF progression with a more favorable safety and tolerability. Future studies should clarify its comparative effectiveness versus steroidal MRAs, its role in HF with reduced ejection fraction, and its integration with SGLT-2 inhibitors for comprehensive cardiorenal protection.</w:t>
      </w:r>
    </w:p>
    <w:p w14:paraId="2B202E4D" w14:textId="77777777" w:rsidR="000421CA" w:rsidRDefault="000421CA" w:rsidP="000421CA">
      <w:r>
        <w:br w:type="page"/>
      </w:r>
    </w:p>
    <w:p w14:paraId="0C9CFC85" w14:textId="734129CF" w:rsidR="000421CA" w:rsidRDefault="00004C7D" w:rsidP="000421CA">
      <w:pPr>
        <w:spacing w:after="0"/>
      </w:pPr>
      <w:r>
        <w:rPr>
          <w:sz w:val="24"/>
        </w:rPr>
        <w:lastRenderedPageBreak/>
        <w:t>College of Science and Mathematics</w:t>
      </w:r>
    </w:p>
    <w:p w14:paraId="7D9024CC" w14:textId="6C603E5A" w:rsidR="000421CA" w:rsidRDefault="000421CA" w:rsidP="000421CA">
      <w:pPr>
        <w:spacing w:after="240"/>
      </w:pPr>
    </w:p>
    <w:p w14:paraId="4E4ABD61" w14:textId="77777777" w:rsidR="000421CA" w:rsidRDefault="000421CA" w:rsidP="000421CA">
      <w:pPr>
        <w:spacing w:after="0"/>
      </w:pPr>
      <w:r>
        <w:rPr>
          <w:sz w:val="24"/>
        </w:rPr>
        <w:t>Lipin1 upregulation Reduces Fibrosis and Preserves Muscle Integrity in Duchenne Muscular Dystrophy</w:t>
      </w:r>
    </w:p>
    <w:p w14:paraId="2450203C" w14:textId="4ED96431" w:rsidR="000421CA" w:rsidRDefault="000421CA" w:rsidP="000421CA">
      <w:pPr>
        <w:spacing w:after="0"/>
      </w:pPr>
      <w:r>
        <w:rPr>
          <w:sz w:val="24"/>
        </w:rPr>
        <w:t>Kuntz, Zachary Keith</w:t>
      </w:r>
    </w:p>
    <w:p w14:paraId="30F16A26" w14:textId="04E5995A" w:rsidR="000421CA" w:rsidRDefault="000421CA" w:rsidP="000421CA">
      <w:pPr>
        <w:spacing w:after="240"/>
      </w:pPr>
      <w:r>
        <w:rPr>
          <w:sz w:val="24"/>
        </w:rPr>
        <w:t>Mentor: Ren, Hongmei</w:t>
      </w:r>
    </w:p>
    <w:p w14:paraId="3882112B" w14:textId="77777777" w:rsidR="000421CA" w:rsidRDefault="000421CA" w:rsidP="000421CA">
      <w:pPr>
        <w:spacing w:after="480"/>
      </w:pPr>
      <w:r>
        <w:t xml:space="preserve">Duchenne muscular dystrophy (DMD) is an inherited muscle disorder that leads to progressive muscle degeneration and premature death, typically by the age of thirty. Lipin1, a phosphatidic acid phosphatase involved in membrane lipid metabolism and </w:t>
      </w:r>
      <w:proofErr w:type="spellStart"/>
      <w:r>
        <w:t>sarcolemmal</w:t>
      </w:r>
      <w:proofErr w:type="spellEnd"/>
      <w:r>
        <w:t xml:space="preserve"> integrity, has been implicated in modulating disease progression. To investigate lipin1’s role in dystrophic pathology, we analyzed cardiac and gastrocnemius muscles from 6-month-old mdx:lipin1 transgenic mice, in which lipin1 protein expression was restored in dystrophic muscle, using H&amp;E and Sirius Red staining. Compared with mdx controls, upregulation of lipin1 markedly reduced fibrosis and muscle degeneration, indicating a protective effect on dystrophic muscle. These results demonstrate that lipin1 is critical for preventing fibrotic progression and preserving muscle integrity, suggesting that targeted modulation of lipin1 may represent a therapeutic strategy to slow DMD progression.</w:t>
      </w:r>
    </w:p>
    <w:p w14:paraId="70D95E88" w14:textId="77777777" w:rsidR="000421CA" w:rsidRDefault="000421CA" w:rsidP="000421CA">
      <w:r>
        <w:br w:type="page"/>
      </w:r>
    </w:p>
    <w:p w14:paraId="5E0C8549" w14:textId="224C8641" w:rsidR="000421CA" w:rsidRDefault="00E533E4" w:rsidP="000421CA">
      <w:pPr>
        <w:spacing w:after="0"/>
      </w:pPr>
      <w:r>
        <w:rPr>
          <w:sz w:val="24"/>
        </w:rPr>
        <w:lastRenderedPageBreak/>
        <w:t>College of Health, Education, and Human Services</w:t>
      </w:r>
    </w:p>
    <w:p w14:paraId="2162215B" w14:textId="2A74C452" w:rsidR="000421CA" w:rsidRDefault="000421CA" w:rsidP="000421CA">
      <w:pPr>
        <w:spacing w:after="240"/>
      </w:pPr>
    </w:p>
    <w:p w14:paraId="25B40B5D" w14:textId="77777777" w:rsidR="000421CA" w:rsidRDefault="000421CA" w:rsidP="000421CA">
      <w:pPr>
        <w:spacing w:after="0"/>
      </w:pPr>
      <w:r>
        <w:rPr>
          <w:sz w:val="24"/>
        </w:rPr>
        <w:t>Stepping up the STEM Classroom: Collaborative Investigations of the Vernal Pool Phenomenon</w:t>
      </w:r>
    </w:p>
    <w:p w14:paraId="0724B49F" w14:textId="4E998289" w:rsidR="000421CA" w:rsidRDefault="000421CA" w:rsidP="000421CA">
      <w:pPr>
        <w:spacing w:after="0"/>
      </w:pPr>
      <w:r>
        <w:rPr>
          <w:sz w:val="24"/>
        </w:rPr>
        <w:t>Kurtz, Rebecca Anne</w:t>
      </w:r>
    </w:p>
    <w:p w14:paraId="2631F654" w14:textId="72319EAE" w:rsidR="000421CA" w:rsidRDefault="000421CA" w:rsidP="000421CA">
      <w:pPr>
        <w:spacing w:after="240"/>
      </w:pPr>
      <w:r>
        <w:rPr>
          <w:sz w:val="24"/>
        </w:rPr>
        <w:t>Mentor: Fleming, Michelle</w:t>
      </w:r>
    </w:p>
    <w:p w14:paraId="65C3C1B1" w14:textId="77777777" w:rsidR="000421CA" w:rsidRDefault="000421CA" w:rsidP="000421CA">
      <w:pPr>
        <w:spacing w:after="480"/>
      </w:pPr>
      <w:r>
        <w:t>This exploratory research study examines the development, field testing, and refinement of a phenomenon-based STEM curriculum centered on Ohio vernal pool ecosystems. Developed through a university–K–12 partnership, the curriculum was co-designed by an elementary education teacher candidate and professor at Wright State University in collaboration with tenth grade students at the Dayton Regional STEM School. Together, they created learning experiences investigating energy flow, organism needs, adaptations, life cycles, hydrology, and seasonal patterns within vernal pool environments.   An initial field test was conducted in Fall 2025 with 19 third grade students at Valley Elementary School in Beavercreek, Ohio, generating preliminary student learning data and teacher feedback. In Spring 2026, the curriculum expands to four additional third grade classrooms across the Dayton region, reaching approximately 100 students. Data sources include student work samples, classroom observations, teacher reflections, and aligned pre/post assessments.   Analysis evaluates curriculum usability and instructional coherence through the lens of the 5E instructional model and three-dimensional science learning, while documenting evidence of students’ developing understanding of vernal pool phenomena. Findings inform revisions to strengthen alignment with Ohio science standards, Next Generation Science Standards, and research-based science instruction. This study contributes to a locally developed STEM curriculum that deepens young learners’ scientific literacy while modeling a sustainable university-school partnership.</w:t>
      </w:r>
    </w:p>
    <w:p w14:paraId="21EA8097" w14:textId="77777777" w:rsidR="000421CA" w:rsidRDefault="000421CA" w:rsidP="000421CA">
      <w:r>
        <w:br w:type="page"/>
      </w:r>
    </w:p>
    <w:p w14:paraId="3C53D9CD" w14:textId="64C9A4D0" w:rsidR="000421CA" w:rsidRDefault="00004C7D" w:rsidP="000421CA">
      <w:pPr>
        <w:spacing w:after="0"/>
      </w:pPr>
      <w:r>
        <w:rPr>
          <w:sz w:val="24"/>
        </w:rPr>
        <w:lastRenderedPageBreak/>
        <w:t>College of Liberal Arts</w:t>
      </w:r>
    </w:p>
    <w:p w14:paraId="77D7691B" w14:textId="2A7FB0D3" w:rsidR="000421CA" w:rsidRDefault="000421CA" w:rsidP="000421CA">
      <w:pPr>
        <w:spacing w:after="240"/>
      </w:pPr>
    </w:p>
    <w:p w14:paraId="7084A80F" w14:textId="77777777" w:rsidR="000421CA" w:rsidRDefault="000421CA" w:rsidP="000421CA">
      <w:pPr>
        <w:spacing w:after="0"/>
      </w:pPr>
      <w:r>
        <w:rPr>
          <w:sz w:val="24"/>
        </w:rPr>
        <w:t xml:space="preserve">Francoise </w:t>
      </w:r>
      <w:proofErr w:type="spellStart"/>
      <w:r>
        <w:rPr>
          <w:sz w:val="24"/>
        </w:rPr>
        <w:t>d'aubigne</w:t>
      </w:r>
      <w:proofErr w:type="spellEnd"/>
      <w:r>
        <w:rPr>
          <w:sz w:val="24"/>
        </w:rPr>
        <w:t>: Mme. de Maintenon and the Maison Royale de St. Cyr</w:t>
      </w:r>
    </w:p>
    <w:p w14:paraId="2C304508" w14:textId="0C9BE36C" w:rsidR="000421CA" w:rsidRDefault="000421CA" w:rsidP="000421CA">
      <w:pPr>
        <w:spacing w:after="0"/>
      </w:pPr>
      <w:r>
        <w:rPr>
          <w:sz w:val="24"/>
        </w:rPr>
        <w:t>LaRosa, Danya Lynn</w:t>
      </w:r>
    </w:p>
    <w:p w14:paraId="52D507DE" w14:textId="53706EC4" w:rsidR="000421CA" w:rsidRDefault="000421CA" w:rsidP="000421CA">
      <w:pPr>
        <w:spacing w:after="240"/>
      </w:pPr>
      <w:r>
        <w:rPr>
          <w:sz w:val="24"/>
        </w:rPr>
        <w:t>Mentor: Lockhart, Paul</w:t>
      </w:r>
    </w:p>
    <w:p w14:paraId="519B9FD2" w14:textId="77777777" w:rsidR="000421CA" w:rsidRDefault="000421CA" w:rsidP="000421CA">
      <w:pPr>
        <w:spacing w:after="480"/>
      </w:pPr>
      <w:r>
        <w:t xml:space="preserve">This project analyses how Françoise </w:t>
      </w:r>
      <w:proofErr w:type="spellStart"/>
      <w:r>
        <w:t>d'Aubigné</w:t>
      </w:r>
      <w:proofErr w:type="spellEnd"/>
      <w:r>
        <w:t>, Marquise de Maintenon, exercised informal political authority at the court of Louis XIV through morality and leadership, especially in regards to the school she patronized, the Maison Royale de Saint-Louis at Saint-Cyr in 1686. Although she was never crowned as queen, as the secret second wife of Louis XIV, she played a significant role in shaping court culture and the education of the daughters of noblemen, who had been impoverished by the Franco-Dutch War in the late 17th century. This project argues that the founding of the Maison Royale de Saint-Cyr served as an example of her governing capabilities.</w:t>
      </w:r>
    </w:p>
    <w:p w14:paraId="5A4F22C4" w14:textId="77777777" w:rsidR="000421CA" w:rsidRDefault="000421CA" w:rsidP="000421CA">
      <w:r>
        <w:br w:type="page"/>
      </w:r>
    </w:p>
    <w:p w14:paraId="28F58D20" w14:textId="5F381659" w:rsidR="000421CA" w:rsidRDefault="00004C7D" w:rsidP="000421CA">
      <w:pPr>
        <w:spacing w:after="0"/>
      </w:pPr>
      <w:r>
        <w:rPr>
          <w:sz w:val="24"/>
        </w:rPr>
        <w:lastRenderedPageBreak/>
        <w:t>College of Liberal Arts</w:t>
      </w:r>
    </w:p>
    <w:p w14:paraId="6F33C8E2" w14:textId="684023EC" w:rsidR="000421CA" w:rsidRDefault="000421CA" w:rsidP="000421CA">
      <w:pPr>
        <w:spacing w:after="240"/>
      </w:pPr>
    </w:p>
    <w:p w14:paraId="2F5DF2CC" w14:textId="77777777" w:rsidR="000421CA" w:rsidRDefault="000421CA" w:rsidP="000421CA">
      <w:pPr>
        <w:spacing w:after="0"/>
      </w:pPr>
      <w:r>
        <w:rPr>
          <w:sz w:val="24"/>
        </w:rPr>
        <w:t xml:space="preserve">Take Five: The </w:t>
      </w:r>
      <w:proofErr w:type="spellStart"/>
      <w:r>
        <w:rPr>
          <w:sz w:val="24"/>
        </w:rPr>
        <w:t>Affects</w:t>
      </w:r>
      <w:proofErr w:type="spellEnd"/>
      <w:r>
        <w:rPr>
          <w:sz w:val="24"/>
        </w:rPr>
        <w:t xml:space="preserve"> of the Visual and Performative Arts on Individuals with Intellectual and Physical Disabilities</w:t>
      </w:r>
    </w:p>
    <w:p w14:paraId="42385187" w14:textId="77777777" w:rsidR="000421CA" w:rsidRDefault="000421CA" w:rsidP="000421CA">
      <w:pPr>
        <w:spacing w:after="0"/>
      </w:pPr>
      <w:r>
        <w:rPr>
          <w:sz w:val="24"/>
        </w:rPr>
        <w:t xml:space="preserve"> Lawler, Christopher James</w:t>
      </w:r>
    </w:p>
    <w:p w14:paraId="059C8495" w14:textId="77777777" w:rsidR="000421CA" w:rsidRDefault="000421CA" w:rsidP="000421CA">
      <w:pPr>
        <w:spacing w:after="240"/>
      </w:pPr>
      <w:r>
        <w:rPr>
          <w:sz w:val="24"/>
        </w:rPr>
        <w:t xml:space="preserve"> Mentor: Barnett, Jessica</w:t>
      </w:r>
    </w:p>
    <w:p w14:paraId="6097081E" w14:textId="77777777" w:rsidR="000421CA" w:rsidRDefault="000421CA" w:rsidP="000421CA">
      <w:pPr>
        <w:spacing w:after="480"/>
      </w:pPr>
      <w:r>
        <w:t>In my own life, the visual and performative arts of music and theatre have been instrumental to the development of my personal well-being as a person with chronic pain, anxiety, and ADHD. They have helped me increase my want to express my feelings, the way I see myself, as well as building confidence from near nothing at 22 years old.   Within the presentation, I aim to answer the questions of: “What help do these forms of art give?” “In what way does these help disabled individuals receive better quality of life?” and “How will this open the wider conversation of disability in society?”    The purpose is to not only reveal some activities that can assist the disabled community, but to illustrate the need for these services as a progressive and less constrictive avenue for the development of communication. Arts, whether visual or performative, can be a resource to the development of social attitude, expressiveness, and assistance in building a better behavioral structure and self-esteem.</w:t>
      </w:r>
    </w:p>
    <w:p w14:paraId="1D1F4563" w14:textId="77777777" w:rsidR="000421CA" w:rsidRDefault="000421CA" w:rsidP="000421CA">
      <w:r>
        <w:br w:type="page"/>
      </w:r>
    </w:p>
    <w:p w14:paraId="53B59C50" w14:textId="278186DE" w:rsidR="000421CA" w:rsidRDefault="00441698" w:rsidP="000421CA">
      <w:pPr>
        <w:spacing w:after="0"/>
      </w:pPr>
      <w:r>
        <w:rPr>
          <w:sz w:val="24"/>
        </w:rPr>
        <w:lastRenderedPageBreak/>
        <w:t>Boonshoft School of Medicine</w:t>
      </w:r>
    </w:p>
    <w:p w14:paraId="793A8F7C" w14:textId="42EF8C9C" w:rsidR="000421CA" w:rsidRDefault="000421CA" w:rsidP="000421CA">
      <w:pPr>
        <w:spacing w:after="240"/>
      </w:pPr>
    </w:p>
    <w:p w14:paraId="42F85CE0" w14:textId="77777777" w:rsidR="000421CA" w:rsidRDefault="000421CA" w:rsidP="000421CA">
      <w:pPr>
        <w:spacing w:after="0"/>
      </w:pPr>
      <w:r>
        <w:rPr>
          <w:sz w:val="24"/>
        </w:rPr>
        <w:t>Clinical Evidence of Association Between Type – 2 Diabetes Mellitus and Hypothyroidism with Therapeutic Relevance – An Observational Study</w:t>
      </w:r>
    </w:p>
    <w:p w14:paraId="4D0FE42D" w14:textId="29265B9C" w:rsidR="000421CA" w:rsidRDefault="000421CA" w:rsidP="000421CA">
      <w:pPr>
        <w:spacing w:after="0"/>
      </w:pPr>
      <w:proofErr w:type="spellStart"/>
      <w:r>
        <w:rPr>
          <w:sz w:val="24"/>
        </w:rPr>
        <w:t>Lekkala</w:t>
      </w:r>
      <w:proofErr w:type="spellEnd"/>
      <w:r>
        <w:rPr>
          <w:sz w:val="24"/>
        </w:rPr>
        <w:t>, Kavya</w:t>
      </w:r>
    </w:p>
    <w:p w14:paraId="75B17447" w14:textId="3F9531E9" w:rsidR="000421CA" w:rsidRDefault="000421CA" w:rsidP="000421CA">
      <w:pPr>
        <w:spacing w:after="240"/>
      </w:pPr>
      <w:r>
        <w:rPr>
          <w:sz w:val="24"/>
        </w:rPr>
        <w:t>Mentor: Oroszi, Terry L</w:t>
      </w:r>
    </w:p>
    <w:p w14:paraId="33C6B125" w14:textId="77777777" w:rsidR="000421CA" w:rsidRDefault="000421CA" w:rsidP="000421CA">
      <w:pPr>
        <w:spacing w:after="480"/>
      </w:pPr>
      <w:r>
        <w:t>Introductory Statement: Diabetes Mellitus and Thyroid Disorders are the most common endocrine disorders. Patients with either one of the disorders are at higher risk of developing the other disorder. The co-existence of type-2 diabetes mellitus(T2DM) and hypothyroidism with clinical evidence of effect on one another has not been reported until today.   Purpose: The purpose of this study is to determine prevalence of thyroid dysfunction in patients with type 1 and type 2 diabetes mellitus and vice-versa. The study also aimed to show the interrelationships between thyroid hormone levels and glycemic status to understand the clinical implications which can support the screening of either of the two disorders.  Methodological Approach: The observational study was conducted in southern part of India, and the study involved 702 patients. Each participant’s blood sugar levels and thyroid profiles were statistically analyzed using unpaired t-test.   Findings: The incidence of hypothyroidism and hyperthyroidism in diabetic patients was 20.2% and 1.71% respectively, while the incidence of type-1 DM and T2DM in thyroid dysfunction patients was 0.56% and 19.03%. The clinical evidence of association between hypothyroidism and diabetes mellitus with the highest incidence of hypothyroidism in T2DM with four major findings suggesting regular thyroid and glycemic level evaluations. Adjustment of dosage of levothyroxine is necessary with prompt monitoring and reduction of the dose of insulin or oral hypoglycemic drugs to avoid hypoglycemia and its complications.</w:t>
      </w:r>
    </w:p>
    <w:p w14:paraId="68869AC0" w14:textId="77777777" w:rsidR="000421CA" w:rsidRDefault="000421CA" w:rsidP="000421CA">
      <w:r>
        <w:br w:type="page"/>
      </w:r>
    </w:p>
    <w:p w14:paraId="0EEBAE71" w14:textId="6D291234" w:rsidR="000421CA" w:rsidRDefault="00004C7D" w:rsidP="000421CA">
      <w:pPr>
        <w:spacing w:after="0"/>
      </w:pPr>
      <w:r>
        <w:rPr>
          <w:sz w:val="24"/>
        </w:rPr>
        <w:lastRenderedPageBreak/>
        <w:t>College of Liberal Arts</w:t>
      </w:r>
    </w:p>
    <w:p w14:paraId="028FCDBE" w14:textId="5A6D162B" w:rsidR="000421CA" w:rsidRDefault="000421CA" w:rsidP="000421CA">
      <w:pPr>
        <w:spacing w:after="240"/>
      </w:pPr>
    </w:p>
    <w:p w14:paraId="33BEA99E" w14:textId="77777777" w:rsidR="000421CA" w:rsidRDefault="000421CA" w:rsidP="000421CA">
      <w:pPr>
        <w:spacing w:after="0"/>
      </w:pPr>
      <w:r>
        <w:rPr>
          <w:sz w:val="24"/>
        </w:rPr>
        <w:t>Set Design of The Game's Afoot</w:t>
      </w:r>
    </w:p>
    <w:p w14:paraId="347DE80B" w14:textId="34D5EC2E" w:rsidR="000421CA" w:rsidRDefault="000421CA" w:rsidP="000421CA">
      <w:pPr>
        <w:spacing w:after="0"/>
      </w:pPr>
      <w:r>
        <w:rPr>
          <w:sz w:val="24"/>
        </w:rPr>
        <w:t>Lippincott, Callie</w:t>
      </w:r>
    </w:p>
    <w:p w14:paraId="5D3BB913" w14:textId="0DD25E01" w:rsidR="000421CA" w:rsidRDefault="000421CA" w:rsidP="000421CA">
      <w:pPr>
        <w:spacing w:after="240"/>
      </w:pPr>
      <w:r>
        <w:rPr>
          <w:sz w:val="24"/>
        </w:rPr>
        <w:t xml:space="preserve">Mentor: </w:t>
      </w:r>
      <w:proofErr w:type="spellStart"/>
      <w:r>
        <w:rPr>
          <w:sz w:val="24"/>
        </w:rPr>
        <w:t>Seckfort</w:t>
      </w:r>
      <w:proofErr w:type="spellEnd"/>
      <w:r>
        <w:rPr>
          <w:sz w:val="24"/>
        </w:rPr>
        <w:t>, Brian</w:t>
      </w:r>
    </w:p>
    <w:p w14:paraId="5737E7E4" w14:textId="77777777" w:rsidR="000421CA" w:rsidRDefault="000421CA" w:rsidP="000421CA">
      <w:pPr>
        <w:spacing w:after="480"/>
      </w:pPr>
      <w:r>
        <w:t>The Game’s Afoot written by Ken Ludwig is a comedic mystery play taking place in 1930s Connecticut. It begins with William Gillette, a renowned actor famous for playing Sherlock Holmes, who is shot in the arm at a performance by an unknown assailant. With the shooter at large, Gillette decides to throw a Christmas party with his other cast members. The story unfolds when a guest is then mysteriously stabbed to death, Gillette must adorn his Sherlock persona, complete with coat, to find the killer before someone else gets hurt. This set design focuses on an art deco mansion with aspects of Sherlockian nature. To achieve the art deco appearance, the design features concepts like vertical lines, greens and golds, luxury and glamor, and fan motifs. This is illustrated in pieces like the railing, the wallpaper design, door details, and furniture. In addition to art deco, the design comprises the essence of Sherlock. Components of this include hidden passage ways, a wall of weapons, and wallpaper. In whole, the design aids the story by mixing elaborate details with the cunning wits of Sherlock.</w:t>
      </w:r>
    </w:p>
    <w:p w14:paraId="16C7F571" w14:textId="77777777" w:rsidR="000421CA" w:rsidRDefault="000421CA" w:rsidP="000421CA">
      <w:r>
        <w:br w:type="page"/>
      </w:r>
    </w:p>
    <w:p w14:paraId="101F9AD7" w14:textId="3409BA5F" w:rsidR="000421CA" w:rsidRDefault="00004C7D" w:rsidP="000421CA">
      <w:pPr>
        <w:spacing w:after="0"/>
      </w:pPr>
      <w:r>
        <w:rPr>
          <w:sz w:val="24"/>
        </w:rPr>
        <w:lastRenderedPageBreak/>
        <w:t>College of Science and Mathematics</w:t>
      </w:r>
    </w:p>
    <w:p w14:paraId="2783D2B8" w14:textId="5F8D9BB5" w:rsidR="000421CA" w:rsidRDefault="000421CA" w:rsidP="000421CA">
      <w:pPr>
        <w:spacing w:after="240"/>
      </w:pPr>
    </w:p>
    <w:p w14:paraId="7C3D8DB6" w14:textId="77777777" w:rsidR="000421CA" w:rsidRDefault="000421CA" w:rsidP="000421CA">
      <w:pPr>
        <w:spacing w:after="0"/>
      </w:pPr>
      <w:r>
        <w:rPr>
          <w:sz w:val="24"/>
        </w:rPr>
        <w:t>The Potential Effects of Xenobiotics and Hormonal Stress on Human Antibody Production</w:t>
      </w:r>
    </w:p>
    <w:p w14:paraId="60728A1C" w14:textId="37081F12" w:rsidR="000421CA" w:rsidRDefault="000421CA" w:rsidP="000421CA">
      <w:pPr>
        <w:spacing w:after="0"/>
      </w:pPr>
      <w:r>
        <w:rPr>
          <w:sz w:val="24"/>
        </w:rPr>
        <w:t>Lowe, Addison</w:t>
      </w:r>
    </w:p>
    <w:p w14:paraId="25292BEA" w14:textId="4D9CC5DD" w:rsidR="000421CA" w:rsidRDefault="000421CA" w:rsidP="000421CA">
      <w:pPr>
        <w:spacing w:after="240"/>
      </w:pPr>
      <w:r>
        <w:rPr>
          <w:sz w:val="24"/>
        </w:rPr>
        <w:t>Mentor: Sulentic, Courtney</w:t>
      </w:r>
    </w:p>
    <w:p w14:paraId="37867E62" w14:textId="77777777" w:rsidR="000421CA" w:rsidRDefault="000421CA" w:rsidP="000421CA">
      <w:pPr>
        <w:spacing w:after="480"/>
      </w:pPr>
      <w:r>
        <w:t>The aryl hydrocarbon receptor (</w:t>
      </w:r>
      <w:proofErr w:type="spellStart"/>
      <w:r>
        <w:t>AhR</w:t>
      </w:r>
      <w:proofErr w:type="spellEnd"/>
      <w:r>
        <w:t xml:space="preserve">) is known for mediating immunosuppressive effects of various environmental toxicants. 2,3,7,8-tetrachlorodibenzo-p-dioxin (TCDD) is a high affinity </w:t>
      </w:r>
      <w:proofErr w:type="spellStart"/>
      <w:r>
        <w:t>AhR</w:t>
      </w:r>
      <w:proofErr w:type="spellEnd"/>
      <w:r>
        <w:t xml:space="preserve"> ligand widely known to inhibit antibody production in B lymphocytes. Using a human B cell line, SKW 6.4 cells, which does not endogenously express the </w:t>
      </w:r>
      <w:proofErr w:type="spellStart"/>
      <w:r>
        <w:t>AhR</w:t>
      </w:r>
      <w:proofErr w:type="spellEnd"/>
      <w:r>
        <w:t xml:space="preserve">, and a variant of the cell line that has been modified to express the </w:t>
      </w:r>
      <w:proofErr w:type="spellStart"/>
      <w:r>
        <w:t>AhR</w:t>
      </w:r>
      <w:proofErr w:type="spellEnd"/>
      <w:r>
        <w:t xml:space="preserve"> (SKW </w:t>
      </w:r>
      <w:proofErr w:type="spellStart"/>
      <w:r>
        <w:t>AhR</w:t>
      </w:r>
      <w:proofErr w:type="spellEnd"/>
      <w:r>
        <w:t xml:space="preserve">+), this project aims to dive deeper into the role of the </w:t>
      </w:r>
      <w:proofErr w:type="spellStart"/>
      <w:r>
        <w:t>AhR</w:t>
      </w:r>
      <w:proofErr w:type="spellEnd"/>
      <w:r>
        <w:t xml:space="preserve"> in TCDD-induced inhibition of antibody production. Cortisol, a steroid hormone with a key role in the human stress response, is known to bind to the glucocorticoid receptor, which has impacts on transcription factors that have potential to influence the expression of the </w:t>
      </w:r>
      <w:proofErr w:type="spellStart"/>
      <w:r>
        <w:t>IgH</w:t>
      </w:r>
      <w:proofErr w:type="spellEnd"/>
      <w:r>
        <w:t xml:space="preserve"> gene. The </w:t>
      </w:r>
      <w:proofErr w:type="spellStart"/>
      <w:r>
        <w:t>IgH</w:t>
      </w:r>
      <w:proofErr w:type="spellEnd"/>
      <w:r>
        <w:t xml:space="preserve"> gene encodes the heavy chain of antibodies, housing various constant regions including </w:t>
      </w:r>
      <w:proofErr w:type="spellStart"/>
      <w:r>
        <w:t>Cμ</w:t>
      </w:r>
      <w:proofErr w:type="spellEnd"/>
      <w:r>
        <w:t xml:space="preserve">, Cγ1-4, Cα1-2, and </w:t>
      </w:r>
      <w:proofErr w:type="spellStart"/>
      <w:r>
        <w:t>Cε</w:t>
      </w:r>
      <w:proofErr w:type="spellEnd"/>
      <w:r>
        <w:t xml:space="preserve"> that encode for IgM, IgG1-4, IgA1-2, and IgE, respectively. Additionally, β2-adrenergic receptor agonists, such as terbutaline, are widely utilized to reduce inflammation in response to an allergic reaction. This signaling pathway has been shown to modulate the production of antibodies such as IgE. The potential impact and co-influence of xenobiotics and hormonal stressors, like terbutaline and hydrocortisone, will be evaluated to determine if other known signaling pathways influence the </w:t>
      </w:r>
      <w:proofErr w:type="spellStart"/>
      <w:r>
        <w:t>AhR</w:t>
      </w:r>
      <w:proofErr w:type="spellEnd"/>
      <w:r>
        <w:t xml:space="preserve"> signaling pathway in human antibody production.</w:t>
      </w:r>
    </w:p>
    <w:p w14:paraId="3DAB4F4B" w14:textId="77777777" w:rsidR="000421CA" w:rsidRDefault="000421CA" w:rsidP="000421CA">
      <w:r>
        <w:br w:type="page"/>
      </w:r>
    </w:p>
    <w:p w14:paraId="700DB3FB" w14:textId="4863FF4A" w:rsidR="000421CA" w:rsidRDefault="00004C7D" w:rsidP="000421CA">
      <w:pPr>
        <w:spacing w:after="0"/>
      </w:pPr>
      <w:r>
        <w:rPr>
          <w:sz w:val="24"/>
        </w:rPr>
        <w:lastRenderedPageBreak/>
        <w:t>College of Science and Mathematics</w:t>
      </w:r>
    </w:p>
    <w:p w14:paraId="58BE85D0" w14:textId="365FD275" w:rsidR="000421CA" w:rsidRDefault="000421CA" w:rsidP="000421CA">
      <w:pPr>
        <w:spacing w:after="240"/>
      </w:pPr>
    </w:p>
    <w:p w14:paraId="1787D216" w14:textId="77777777" w:rsidR="000421CA" w:rsidRDefault="000421CA" w:rsidP="000421CA">
      <w:pPr>
        <w:spacing w:after="0"/>
      </w:pPr>
      <w:r>
        <w:rPr>
          <w:sz w:val="24"/>
        </w:rPr>
        <w:t>Geographic patterns of tropical insect parasitoids in the eye of the TIGER: a bristle-by-bristle look at diversity</w:t>
      </w:r>
    </w:p>
    <w:p w14:paraId="509360B2" w14:textId="4B543FE0" w:rsidR="000421CA" w:rsidRDefault="000421CA" w:rsidP="000421CA">
      <w:pPr>
        <w:spacing w:after="0"/>
      </w:pPr>
      <w:r>
        <w:rPr>
          <w:sz w:val="24"/>
        </w:rPr>
        <w:t>Lunaria, Khong</w:t>
      </w:r>
    </w:p>
    <w:p w14:paraId="40F16A2D" w14:textId="7A2346CB" w:rsidR="000421CA" w:rsidRDefault="000421CA" w:rsidP="000421CA">
      <w:pPr>
        <w:spacing w:after="240"/>
      </w:pPr>
      <w:r>
        <w:rPr>
          <w:sz w:val="24"/>
        </w:rPr>
        <w:t xml:space="preserve">Mentor: </w:t>
      </w:r>
      <w:proofErr w:type="spellStart"/>
      <w:r>
        <w:rPr>
          <w:sz w:val="24"/>
        </w:rPr>
        <w:t>Stireman</w:t>
      </w:r>
      <w:proofErr w:type="spellEnd"/>
      <w:r>
        <w:rPr>
          <w:sz w:val="24"/>
        </w:rPr>
        <w:t>, John</w:t>
      </w:r>
    </w:p>
    <w:p w14:paraId="08830E34" w14:textId="77777777" w:rsidR="000421CA" w:rsidRDefault="000421CA" w:rsidP="000421CA">
      <w:pPr>
        <w:spacing w:after="480"/>
      </w:pPr>
      <w:r>
        <w:t xml:space="preserve">The taxonomic family </w:t>
      </w:r>
      <w:proofErr w:type="spellStart"/>
      <w:r>
        <w:t>Tachinidae</w:t>
      </w:r>
      <w:proofErr w:type="spellEnd"/>
      <w:r>
        <w:t xml:space="preserve">, composed of tachinids or “bristle flies”, is widely considered to be the most diverse family within true flies order. Bristle flies are parasitoids, depositing their eggs on arthropods and using them as larval hosts. This lifecycle makes them important mechanisms of biological control and indicators of diversity and ecosystem health by reflecting patterns of herbivorous insect and plant diversity. Despite their diversity and ecological importance, our understanding of their distribution, diversity patterns, species turnover, and many other aspects of their basic biology and physiology, is extremely limited in many of the most insect-diverse regions of the world including the Neotropical, Afrotropical, Oriental, and Australasian regions. Many of these regions are also characterized by high levels of endemism, where species often have restricted ranges and are closely tied to specific habitats or landscapes. Simultaneously, degradation, fragmentation, and destruction of tropical forests threaten biodiversity and much of the insect diversity in the tropics may be lost before they are discovered. My research aims to shed light on diversity patterns of tropical tachinids by using a large-scale insect sampling project in Thailand. This will allow me to document the diversity of bristle flies in Thailand and understand how communities vary across geography, habitats, and landscape. To achieve this, bristle fly specimens will be identified to morphospecies in the lab and confirmed with DNA sequencing. I hypothesize that species turnover among sites will be high due to habitat diversity, isolation, and rugged landscapes that may promote endemism. This research will produce the first comprehensive dataset of </w:t>
      </w:r>
      <w:proofErr w:type="spellStart"/>
      <w:r>
        <w:t>Tachinidae</w:t>
      </w:r>
      <w:proofErr w:type="spellEnd"/>
      <w:r>
        <w:t xml:space="preserve"> across Thailand and establish a baseline record of bristle species richness and occurrence to understand bristle fly life histories. This research would also help identify which protected areas are most diverse or most distinct to guide conservation priorities.</w:t>
      </w:r>
    </w:p>
    <w:p w14:paraId="26C489CE" w14:textId="77777777" w:rsidR="000421CA" w:rsidRDefault="000421CA" w:rsidP="000421CA">
      <w:r>
        <w:br w:type="page"/>
      </w:r>
    </w:p>
    <w:p w14:paraId="5CE75E0E" w14:textId="6D91173C" w:rsidR="000421CA" w:rsidRDefault="00004C7D" w:rsidP="000421CA">
      <w:pPr>
        <w:spacing w:after="0"/>
      </w:pPr>
      <w:r>
        <w:rPr>
          <w:sz w:val="24"/>
        </w:rPr>
        <w:lastRenderedPageBreak/>
        <w:t>College of Science and Mathematics</w:t>
      </w:r>
    </w:p>
    <w:p w14:paraId="33101E19" w14:textId="4E428C06" w:rsidR="000421CA" w:rsidRDefault="000421CA" w:rsidP="000421CA">
      <w:pPr>
        <w:spacing w:after="240"/>
      </w:pPr>
    </w:p>
    <w:p w14:paraId="42ACA269" w14:textId="77777777" w:rsidR="000421CA" w:rsidRDefault="000421CA" w:rsidP="000421CA">
      <w:pPr>
        <w:spacing w:after="0"/>
      </w:pPr>
      <w:r>
        <w:rPr>
          <w:sz w:val="24"/>
        </w:rPr>
        <w:t>Therapeutic Evaluation of Lipin1 in the D2.mdx Mouse Model of Duchenne Muscular Dystrophy</w:t>
      </w:r>
    </w:p>
    <w:p w14:paraId="73DF7E38" w14:textId="378F9613" w:rsidR="000421CA" w:rsidRDefault="000421CA" w:rsidP="000421CA">
      <w:pPr>
        <w:spacing w:after="0"/>
      </w:pPr>
      <w:r>
        <w:rPr>
          <w:sz w:val="24"/>
        </w:rPr>
        <w:t>Maharjan, Denish</w:t>
      </w:r>
    </w:p>
    <w:p w14:paraId="5FFA0FA5" w14:textId="1A7D26B4" w:rsidR="000421CA" w:rsidRDefault="000421CA" w:rsidP="000421CA">
      <w:pPr>
        <w:spacing w:after="240"/>
      </w:pPr>
      <w:r>
        <w:rPr>
          <w:sz w:val="24"/>
        </w:rPr>
        <w:t>Mentor: Maharjan, Ren</w:t>
      </w:r>
    </w:p>
    <w:p w14:paraId="17371CF6" w14:textId="77777777" w:rsidR="000421CA" w:rsidRDefault="000421CA" w:rsidP="000421CA">
      <w:pPr>
        <w:spacing w:after="480"/>
      </w:pPr>
      <w:r>
        <w:t xml:space="preserve">Duchenne Muscular Dystrophy (DMD) is a fatal X-linked disorder caused by loss of function mutations in the dystrophin gene, resulting in muscle degeneration, fibrosis, and premature death. The absence of dystrophin compromises </w:t>
      </w:r>
      <w:proofErr w:type="spellStart"/>
      <w:r>
        <w:t>sarcolemmal</w:t>
      </w:r>
      <w:proofErr w:type="spellEnd"/>
      <w:r>
        <w:t xml:space="preserve"> stability, leading to progressive muscle damage and eventually premature death, typically in early adulthood. Despite recent advances, current treatments only slow disease progression and have significant limitations. Lipin1, a phosphatidic acid phosphatase critical for lipid metabolism and membrane integrity, is markedly reduced in dystrophic muscles of DMD patients as well as in mdx and D2-mdx mouse models. Our recent studies uncovered a novel role for lipin1 in maintaining </w:t>
      </w:r>
      <w:proofErr w:type="spellStart"/>
      <w:r>
        <w:t>sarcolemmal</w:t>
      </w:r>
      <w:proofErr w:type="spellEnd"/>
      <w:r>
        <w:t xml:space="preserve"> integrity. In mdx:lipin1 transgenic mice, lipin1 upregulation reduced muscle pathology and improved both skeletal and respiratory muscle function. To evaluate the translational potential of lipin1 gene therapy, we used the D2-mdx mouse model, which closely recapitulates the severe clinical phenotype of human DMD. We assessed the therapeutic efficacy of </w:t>
      </w:r>
      <w:proofErr w:type="spellStart"/>
      <w:r>
        <w:t>MyoAAV</w:t>
      </w:r>
      <w:proofErr w:type="spellEnd"/>
      <w:r>
        <w:t>-mediated lipin1 gene delivery in restoring muscle function and integrity in D2-mdx mice.</w:t>
      </w:r>
    </w:p>
    <w:p w14:paraId="385ED20C" w14:textId="77777777" w:rsidR="000421CA" w:rsidRDefault="000421CA" w:rsidP="000421CA">
      <w:r>
        <w:br w:type="page"/>
      </w:r>
    </w:p>
    <w:p w14:paraId="28ACF78B" w14:textId="17262887" w:rsidR="000421CA" w:rsidRDefault="00B537EA" w:rsidP="000421CA">
      <w:pPr>
        <w:spacing w:after="0"/>
      </w:pPr>
      <w:r>
        <w:rPr>
          <w:sz w:val="24"/>
        </w:rPr>
        <w:lastRenderedPageBreak/>
        <w:t>College of Engineering and Computer Science</w:t>
      </w:r>
    </w:p>
    <w:p w14:paraId="0EA15987" w14:textId="64555E0A" w:rsidR="000421CA" w:rsidRDefault="000421CA" w:rsidP="000421CA">
      <w:pPr>
        <w:spacing w:after="240"/>
      </w:pPr>
    </w:p>
    <w:p w14:paraId="5E757877" w14:textId="77777777" w:rsidR="000421CA" w:rsidRDefault="000421CA" w:rsidP="000421CA">
      <w:pPr>
        <w:spacing w:after="0"/>
      </w:pPr>
      <w:r>
        <w:rPr>
          <w:sz w:val="24"/>
        </w:rPr>
        <w:t>Microneedle Biosensors for Measurement of Biomarkers in the Interstitial Fluid</w:t>
      </w:r>
    </w:p>
    <w:p w14:paraId="5B9B5F7F" w14:textId="4ACE483A" w:rsidR="000421CA" w:rsidRDefault="000421CA" w:rsidP="000421CA">
      <w:pPr>
        <w:spacing w:after="0"/>
      </w:pPr>
      <w:r>
        <w:rPr>
          <w:sz w:val="24"/>
        </w:rPr>
        <w:t>Mallets, Joshua Robert</w:t>
      </w:r>
    </w:p>
    <w:p w14:paraId="72AB650C" w14:textId="66B5B7B4" w:rsidR="000421CA" w:rsidRDefault="000421CA" w:rsidP="000421CA">
      <w:pPr>
        <w:spacing w:after="240"/>
      </w:pPr>
      <w:r>
        <w:rPr>
          <w:sz w:val="24"/>
        </w:rPr>
        <w:t>Mentor: Goswami, Tarun</w:t>
      </w:r>
    </w:p>
    <w:p w14:paraId="34507C5D" w14:textId="77777777" w:rsidR="000421CA" w:rsidRDefault="000421CA" w:rsidP="000421CA">
      <w:pPr>
        <w:spacing w:after="480"/>
      </w:pPr>
      <w:r>
        <w:t>Traditional blood tests are the current gold standard in a clinical setting for diagnosing and monitoring health and disease via biomarker measurement. However, this method has several faults, such as medical resource consumption, time consumption, and patient hesitation that limit practicality and efficiency. Microneedle biosensors have therefore been presented as an alternative solution with interest in point-of-care applications. These sensors typically contain an array of microneedles, measuring several hundred microns in length, that penetrate the skin in a minimally invasive manner and access the interstitial fluid. Quantification of biomarkers in the interstitial fluid is achieved by functionalizing the microneedles with recognition elements that have a selective affinity for a target biomarker. Using techniques such as electrochemistry, the binding of the target biomarker creates a measurable signal, thus forming the microneedle biosensor. While microneedle biosensors have been proven in laboratory settings, several limitations must be overcome to transition the sensors into real-world applications. Based on the current state-of-the-art, these challenges include large-scale manufacturing, sterilization, modeling analyte diffusion for determining sensor calibration, and long-term sensor performance. More specifically, the long-term performance, or the life of a biosensor, is often limited to one or two weeks by factors such as biofouling and the immune response. Common approaches targeted at minimizing biofouling and immune response often implement membranes or coatings on the surface of the biosensor. These coatings create physical or energetic barriers that prevent biological material from adhering to the surface and in some cases, are loaded with an eluting anti-inflammatory drug. Therefore, this presentation provides an examination and comparison between approaches used to mitigate biofouling and inflammation to guide our research in improving the life of microneedle biosensors.</w:t>
      </w:r>
    </w:p>
    <w:p w14:paraId="0EBFD122" w14:textId="77777777" w:rsidR="000421CA" w:rsidRDefault="000421CA" w:rsidP="000421CA">
      <w:r>
        <w:br w:type="page"/>
      </w:r>
    </w:p>
    <w:p w14:paraId="6FC6B48E" w14:textId="02D53010" w:rsidR="000421CA" w:rsidRDefault="00004C7D" w:rsidP="000421CA">
      <w:pPr>
        <w:spacing w:after="0"/>
      </w:pPr>
      <w:r>
        <w:rPr>
          <w:sz w:val="24"/>
        </w:rPr>
        <w:lastRenderedPageBreak/>
        <w:t>College of Science and Mathematics</w:t>
      </w:r>
    </w:p>
    <w:p w14:paraId="3509960F" w14:textId="6E6DC221" w:rsidR="000421CA" w:rsidRDefault="000421CA" w:rsidP="000421CA">
      <w:pPr>
        <w:spacing w:after="240"/>
      </w:pPr>
    </w:p>
    <w:p w14:paraId="50357C0E" w14:textId="77777777" w:rsidR="000421CA" w:rsidRDefault="000421CA" w:rsidP="000421CA">
      <w:pPr>
        <w:spacing w:after="0"/>
      </w:pPr>
      <w:r>
        <w:rPr>
          <w:sz w:val="24"/>
        </w:rPr>
        <w:t>Improving Secretive Marsh Birds Detection with Acoustic Monitoring</w:t>
      </w:r>
    </w:p>
    <w:p w14:paraId="2EE4F5A3" w14:textId="7FE27308" w:rsidR="000421CA" w:rsidRDefault="000421CA" w:rsidP="000421CA">
      <w:pPr>
        <w:spacing w:after="0"/>
      </w:pPr>
      <w:r>
        <w:rPr>
          <w:sz w:val="24"/>
        </w:rPr>
        <w:t>Mansfield, Rachel Hamilton</w:t>
      </w:r>
    </w:p>
    <w:p w14:paraId="20B02BCF" w14:textId="2D63F2FE" w:rsidR="000421CA" w:rsidRDefault="000421CA" w:rsidP="000421CA">
      <w:pPr>
        <w:spacing w:after="240"/>
      </w:pPr>
      <w:r>
        <w:rPr>
          <w:sz w:val="24"/>
        </w:rPr>
        <w:t>Mentor: Bahn, Volker</w:t>
      </w:r>
    </w:p>
    <w:p w14:paraId="218D6384" w14:textId="77777777" w:rsidR="000421CA" w:rsidRDefault="000421CA" w:rsidP="000421CA">
      <w:pPr>
        <w:spacing w:after="480"/>
      </w:pPr>
      <w:r>
        <w:t xml:space="preserve">Wetland loss across North America has resulted in alarming declines in many wetland bird populations. Secretive marsh birds are a difficult group of species to monitor with traditional survey methods, but timely conservation depends on accurate population data. We aim to evaluate whether integrating autonomous recording units (ARUs) with human-conducted surveys improves detection of secretive marsh birds and strengthens population inference. As part of a highly collaborative effort involving Wright State University, </w:t>
      </w:r>
      <w:proofErr w:type="spellStart"/>
      <w:r>
        <w:t>Winous</w:t>
      </w:r>
      <w:proofErr w:type="spellEnd"/>
      <w:r>
        <w:t xml:space="preserve"> Point Marsh Conservancy, Ohio State University, and Audubon Great Lakes, we deployed 79 ARUs across Ohio wetlands. These ARUs were paired with traditional human-conducted point counts to compare detection rates and evaluate design trade-offs in monitoring approaches. An additional 16 ARUs were deployed in Michigan by regional partners to increase our geographic coverage. Because uncertainty in ARU detection range can bias occurrence and relative abundance estimates, we quantified distance-dependent detection performance using controlled playback experiments in open-field and natural marsh environments and constructed detection functions by species and call type. Results indicate that detection probability declines with distance for both human observers and ARU-based classifications, but the rate of decline and effective detection distance vary by species, call type, and habitat structure. In densely vegetated marsh conditions, ARU detections declined more rapidly with distance than those of human observers, suggesting vegetation interference impacts automated detection performance more than human perception. We use these effective detection ranges to calibrate ARU data and integrate acoustic and human observations for occupancy and relative abundance estimation. These results will improve the interpretation of acoustic monitoring data and support more reliable marsh bird population assessments to inform wetland management and conservation.</w:t>
      </w:r>
    </w:p>
    <w:p w14:paraId="482F8516" w14:textId="77777777" w:rsidR="000421CA" w:rsidRDefault="000421CA" w:rsidP="000421CA">
      <w:r>
        <w:br w:type="page"/>
      </w:r>
    </w:p>
    <w:p w14:paraId="6211776E" w14:textId="3256151C" w:rsidR="000421CA" w:rsidRDefault="00E533E4" w:rsidP="000421CA">
      <w:pPr>
        <w:spacing w:after="0"/>
      </w:pPr>
      <w:r>
        <w:rPr>
          <w:sz w:val="24"/>
        </w:rPr>
        <w:lastRenderedPageBreak/>
        <w:t>College of Health, Education, and Human Services</w:t>
      </w:r>
    </w:p>
    <w:p w14:paraId="531F9A04" w14:textId="6CA959F0" w:rsidR="000421CA" w:rsidRDefault="000421CA" w:rsidP="000421CA">
      <w:pPr>
        <w:spacing w:after="240"/>
      </w:pPr>
    </w:p>
    <w:p w14:paraId="6D4C7761" w14:textId="77777777" w:rsidR="000421CA" w:rsidRDefault="000421CA" w:rsidP="000421CA">
      <w:pPr>
        <w:spacing w:after="0"/>
      </w:pPr>
      <w:r>
        <w:rPr>
          <w:sz w:val="24"/>
        </w:rPr>
        <w:t>Grit and Academic Survivors: Persistence to Graduation Among College Seniors with GPAs Between 2.0 and 2.9</w:t>
      </w:r>
    </w:p>
    <w:p w14:paraId="298CC08C" w14:textId="1A68F11A" w:rsidR="000421CA" w:rsidRDefault="000421CA" w:rsidP="000421CA">
      <w:pPr>
        <w:spacing w:after="0"/>
      </w:pPr>
      <w:r>
        <w:rPr>
          <w:sz w:val="24"/>
        </w:rPr>
        <w:t>Marker, Laura</w:t>
      </w:r>
    </w:p>
    <w:p w14:paraId="17C37B86" w14:textId="46F629AB" w:rsidR="000421CA" w:rsidRDefault="000421CA" w:rsidP="000421CA">
      <w:pPr>
        <w:spacing w:after="240"/>
      </w:pPr>
      <w:r>
        <w:rPr>
          <w:sz w:val="24"/>
        </w:rPr>
        <w:t>Mentor: Miura, Yoko</w:t>
      </w:r>
    </w:p>
    <w:p w14:paraId="41669427" w14:textId="77777777" w:rsidR="000421CA" w:rsidRDefault="000421CA" w:rsidP="000421CA">
      <w:pPr>
        <w:spacing w:after="480"/>
      </w:pPr>
      <w:r>
        <w:t>Research on college student retention and persistence often focuses on high-achieving students or students on academic probation. Less attention has been given to college students who persist to graduation while maintaining cumulative grade point averages (GPAs) between 2.0 and 2.9. Although these students meet the institutional requirements for degree completion, little is known about how they experience their academic journeys or how they interpret the factors that contributed to their persistence. This dissertation proposal refers to this group as “academic survivors.” Guided by Duckworth’s Grit Theory and Tinto’s Theory of Student Departure, this phenomenological study proposal will explore how graduating college seniors with the specified GPAs describe their pathways to degree completion. The study proposal centers on students’ own accounts of their experiences, decisions to remain enrolled, and perceptions of support.  Participants will be graduating college seniors at a public university who meet the GPA criteria. I will conduct the semi-structured interviews to invite participants to reflect on their academic journeys, key moments that shaped their persistence, and their definitions of success. Interviews will be analyzed using phenomenological methods to identify shared patterns across participants’ narratives. Strategies to enhance trustworthiness will include attention to the researcher’s positionality and reflectivity, as well as systematic coding procedures.  As a dissertation proposal, this study aims to address a gap in the literature by focusing on a group of students who are often underrepresented in research on academic success and persistence. By centering participants’ own perspectives, the study seeks to understand how academic survivors describe their experience. Rather than evaluating institutional effectiveness, this research prioritizes the voices and meanings constructed by the students themselves. Findings will contribute to a more nuanced understanding of persistence by documenting how these students experience and interpret their progression to degree competition.</w:t>
      </w:r>
    </w:p>
    <w:p w14:paraId="174E7928" w14:textId="77777777" w:rsidR="000421CA" w:rsidRDefault="000421CA" w:rsidP="000421CA">
      <w:r>
        <w:br w:type="page"/>
      </w:r>
    </w:p>
    <w:p w14:paraId="388AB6F8" w14:textId="1A92B3C4" w:rsidR="000421CA" w:rsidRDefault="00004C7D" w:rsidP="000421CA">
      <w:pPr>
        <w:spacing w:after="0"/>
      </w:pPr>
      <w:r>
        <w:rPr>
          <w:sz w:val="24"/>
        </w:rPr>
        <w:lastRenderedPageBreak/>
        <w:t>College of Science and Mathematics</w:t>
      </w:r>
    </w:p>
    <w:p w14:paraId="3C9A0DDA" w14:textId="14389283" w:rsidR="000421CA" w:rsidRDefault="000421CA" w:rsidP="000421CA">
      <w:pPr>
        <w:spacing w:after="240"/>
      </w:pPr>
    </w:p>
    <w:p w14:paraId="4080C9D4" w14:textId="77777777" w:rsidR="000421CA" w:rsidRDefault="000421CA" w:rsidP="000421CA">
      <w:pPr>
        <w:spacing w:after="0"/>
      </w:pPr>
      <w:r>
        <w:rPr>
          <w:sz w:val="24"/>
        </w:rPr>
        <w:t>TIP60 regulation of PTEN expression and localization is associated with resistance to cisplatin in squamous cell carcinoma</w:t>
      </w:r>
    </w:p>
    <w:p w14:paraId="27CBA701" w14:textId="10E2C917" w:rsidR="000421CA" w:rsidRDefault="000421CA" w:rsidP="000421CA">
      <w:pPr>
        <w:spacing w:after="0"/>
      </w:pPr>
      <w:r>
        <w:rPr>
          <w:sz w:val="24"/>
        </w:rPr>
        <w:t>McLaughlin, Caroline</w:t>
      </w:r>
    </w:p>
    <w:p w14:paraId="4AD294CC" w14:textId="67492D9A" w:rsidR="000421CA" w:rsidRDefault="000421CA" w:rsidP="000421CA">
      <w:pPr>
        <w:spacing w:after="240"/>
      </w:pPr>
      <w:r>
        <w:rPr>
          <w:sz w:val="24"/>
        </w:rPr>
        <w:t>Mentor: Kadakia, Madhavi</w:t>
      </w:r>
    </w:p>
    <w:p w14:paraId="0BA3423C" w14:textId="77777777" w:rsidR="000421CA" w:rsidRDefault="000421CA" w:rsidP="000421CA">
      <w:pPr>
        <w:spacing w:after="480"/>
      </w:pPr>
      <w:r>
        <w:t>Squamous cell carcinoma (SCC) continues to rise in incidence worldwide. The effectiveness of cisplatin, a standard of care therapy for SCC, is limited. We hypothesize that TIP60, a histone acetyltransferase, promotes cisplatin resistance by suppressing the tumor suppressor PTEN’s expression and altering its localization. Using SCC models of acquired and intrinsic resistance, we demonstrated that PTEN protein is reduced in these cisplatin-resistant cells. siRNA-induced knockdown of TIP60 increased PTEN mRNA and protein levels, PTEN promoter activity, and decreased p-Akt levels. In contrast, TIP60 overexpression decreased PTEN protein levels and increased p-Akt levels. TIP60 knockdown increased PTEN protein levels within the cytoplasmic cellular compartment of cisplatin-resistant cells. Together, these findings reveal a TIP60-PTEN regulatory axis that may be targeted to overcome cisplatin resistance in SCC patients.</w:t>
      </w:r>
    </w:p>
    <w:p w14:paraId="1130AF66" w14:textId="77777777" w:rsidR="000421CA" w:rsidRDefault="000421CA" w:rsidP="000421CA">
      <w:r>
        <w:br w:type="page"/>
      </w:r>
    </w:p>
    <w:p w14:paraId="13C586FE" w14:textId="74B8289B" w:rsidR="000421CA" w:rsidRDefault="00004C7D" w:rsidP="000421CA">
      <w:pPr>
        <w:spacing w:after="0"/>
      </w:pPr>
      <w:r>
        <w:rPr>
          <w:sz w:val="24"/>
        </w:rPr>
        <w:lastRenderedPageBreak/>
        <w:t>College of Science and Mathematics</w:t>
      </w:r>
    </w:p>
    <w:p w14:paraId="1BD874D3" w14:textId="32541AAF" w:rsidR="000421CA" w:rsidRDefault="000421CA" w:rsidP="000421CA">
      <w:pPr>
        <w:spacing w:after="240"/>
      </w:pPr>
    </w:p>
    <w:p w14:paraId="46479224" w14:textId="77777777" w:rsidR="000421CA" w:rsidRDefault="000421CA" w:rsidP="000421CA">
      <w:pPr>
        <w:spacing w:after="0"/>
      </w:pPr>
      <w:r>
        <w:rPr>
          <w:sz w:val="24"/>
        </w:rPr>
        <w:t>C-Fiber Hyperexcitability After Acute Nerve Compression of Mouse Sciatic Nerve</w:t>
      </w:r>
    </w:p>
    <w:p w14:paraId="42BE4CAA" w14:textId="54362776" w:rsidR="000421CA" w:rsidRDefault="000421CA" w:rsidP="000421CA">
      <w:pPr>
        <w:spacing w:after="0"/>
      </w:pPr>
      <w:r>
        <w:rPr>
          <w:sz w:val="24"/>
        </w:rPr>
        <w:t>McNeil, Arian K</w:t>
      </w:r>
    </w:p>
    <w:p w14:paraId="198FEA94" w14:textId="3C94C4F1" w:rsidR="000421CA" w:rsidRDefault="000421CA" w:rsidP="000421CA">
      <w:pPr>
        <w:spacing w:after="240"/>
      </w:pPr>
      <w:r>
        <w:rPr>
          <w:sz w:val="24"/>
        </w:rPr>
        <w:t>Mentor: Ladle, David</w:t>
      </w:r>
    </w:p>
    <w:p w14:paraId="4126FAEB" w14:textId="77777777" w:rsidR="000421CA" w:rsidRDefault="000421CA" w:rsidP="000421CA">
      <w:pPr>
        <w:spacing w:after="480"/>
      </w:pPr>
      <w:r>
        <w:t>Peripheral nerve compression is a common cause of lost work and disability. Symptoms include numbness, weakness, and pain in the distribution of the compressed nerve. Mechanisms underlying the simultaneous loss of function (numbness and weakness) and gain of function (pain) observed following compression remains poorly understood. We studied the response of the mouse sciatic nerve to ex vivo compression and found that compression resulted in acute conduction block of the rapidly conducting compound nerve action potential carried by the A-Fibers. In contrast, there was an acute increase in the number of spikes in the slowly conducting response mediated by the C-Fibers. Our findings suggest that myelinated and unmyelinated fibers have opposite responses to acute compression: myelinated fibers become hypoexcitable and unmyelinated fibers become hyperexcitable. The establishment of an animal model that recreates key findings of compression neuropathy symptoms provides a system to identify underlying mechanisms to develop more effective therapy.</w:t>
      </w:r>
    </w:p>
    <w:p w14:paraId="0F74EA55" w14:textId="77777777" w:rsidR="000421CA" w:rsidRDefault="000421CA" w:rsidP="000421CA">
      <w:r>
        <w:br w:type="page"/>
      </w:r>
    </w:p>
    <w:p w14:paraId="134E7402" w14:textId="09DA3EA3" w:rsidR="000421CA" w:rsidRDefault="00B537EA" w:rsidP="000421CA">
      <w:pPr>
        <w:spacing w:after="0"/>
      </w:pPr>
      <w:r>
        <w:rPr>
          <w:sz w:val="24"/>
        </w:rPr>
        <w:lastRenderedPageBreak/>
        <w:t>College of Engineering and Computer Science</w:t>
      </w:r>
    </w:p>
    <w:p w14:paraId="43C51BE3" w14:textId="7CF861CE" w:rsidR="000421CA" w:rsidRDefault="000421CA" w:rsidP="000421CA">
      <w:pPr>
        <w:spacing w:after="240"/>
      </w:pPr>
    </w:p>
    <w:p w14:paraId="4D9C73D6" w14:textId="77777777" w:rsidR="000421CA" w:rsidRDefault="000421CA" w:rsidP="000421CA">
      <w:pPr>
        <w:spacing w:after="0"/>
      </w:pPr>
      <w:r>
        <w:rPr>
          <w:sz w:val="24"/>
        </w:rPr>
        <w:t>KASTLE Lab presents KASTLE Lab</w:t>
      </w:r>
    </w:p>
    <w:p w14:paraId="0614CA1D" w14:textId="1B77B9E4" w:rsidR="000421CA" w:rsidRDefault="000421CA" w:rsidP="000421CA">
      <w:pPr>
        <w:spacing w:after="0"/>
      </w:pPr>
      <w:proofErr w:type="spellStart"/>
      <w:r>
        <w:rPr>
          <w:sz w:val="24"/>
        </w:rPr>
        <w:t>Mccain</w:t>
      </w:r>
      <w:proofErr w:type="spellEnd"/>
      <w:r>
        <w:rPr>
          <w:sz w:val="24"/>
        </w:rPr>
        <w:t>, Michael Edward</w:t>
      </w:r>
    </w:p>
    <w:p w14:paraId="669A6731" w14:textId="5B231D91" w:rsidR="000421CA" w:rsidRDefault="000421CA" w:rsidP="000421CA">
      <w:pPr>
        <w:spacing w:after="240"/>
      </w:pPr>
      <w:r>
        <w:rPr>
          <w:sz w:val="24"/>
        </w:rPr>
        <w:t>Mentor: Shimizu, Cogan</w:t>
      </w:r>
    </w:p>
    <w:p w14:paraId="4C75A688" w14:textId="77777777" w:rsidR="000421CA" w:rsidRDefault="000421CA" w:rsidP="000421CA">
      <w:pPr>
        <w:spacing w:after="480"/>
      </w:pPr>
      <w:r>
        <w:t>KASTLE Lab presents KASTLE Lab.</w:t>
      </w:r>
    </w:p>
    <w:p w14:paraId="5882802E" w14:textId="77777777" w:rsidR="000421CA" w:rsidRDefault="000421CA" w:rsidP="000421CA">
      <w:r>
        <w:br w:type="page"/>
      </w:r>
    </w:p>
    <w:p w14:paraId="217C3736" w14:textId="1B89E330" w:rsidR="000421CA" w:rsidRDefault="00B537EA" w:rsidP="000421CA">
      <w:pPr>
        <w:spacing w:after="0"/>
      </w:pPr>
      <w:r>
        <w:rPr>
          <w:sz w:val="24"/>
        </w:rPr>
        <w:lastRenderedPageBreak/>
        <w:t>College of Engineering and Computer Science</w:t>
      </w:r>
    </w:p>
    <w:p w14:paraId="355EC592" w14:textId="21F8788F" w:rsidR="000421CA" w:rsidRDefault="000421CA" w:rsidP="000421CA">
      <w:pPr>
        <w:spacing w:after="240"/>
      </w:pPr>
    </w:p>
    <w:p w14:paraId="7578E87B" w14:textId="77777777" w:rsidR="000421CA" w:rsidRDefault="000421CA" w:rsidP="000421CA">
      <w:pPr>
        <w:spacing w:after="0"/>
      </w:pPr>
      <w:r>
        <w:rPr>
          <w:sz w:val="24"/>
        </w:rPr>
        <w:t>A Knowledge Graph for the Detection of Malware Behavior in Executables</w:t>
      </w:r>
    </w:p>
    <w:p w14:paraId="3A7BA8A6" w14:textId="2BE91746" w:rsidR="000421CA" w:rsidRDefault="000421CA" w:rsidP="000421CA">
      <w:pPr>
        <w:spacing w:after="0"/>
      </w:pPr>
      <w:r>
        <w:rPr>
          <w:sz w:val="24"/>
        </w:rPr>
        <w:t>Miller, Emily</w:t>
      </w:r>
    </w:p>
    <w:p w14:paraId="3501CCC9" w14:textId="282EAEE6" w:rsidR="000421CA" w:rsidRDefault="000421CA" w:rsidP="000421CA">
      <w:pPr>
        <w:spacing w:after="240"/>
      </w:pPr>
      <w:r>
        <w:rPr>
          <w:sz w:val="24"/>
        </w:rPr>
        <w:t>Mentor: Shimizu, Cogan</w:t>
      </w:r>
    </w:p>
    <w:p w14:paraId="211A04C0" w14:textId="77777777" w:rsidR="000421CA" w:rsidRDefault="000421CA" w:rsidP="000421CA">
      <w:pPr>
        <w:spacing w:after="480"/>
      </w:pPr>
      <w:r>
        <w:t xml:space="preserve">The process of software reverse engineering involves decompiling and disassembling a program to get the original source code and is a useful method for detecting malware in software. Leveraging reverse engineering software like or allows a person to look through the decomplication and disassembly of a file to identify the functions and variables within the software, providing an overall summary of functionalities. While there already exist tools to analyze files in this way, it is often a tedious and time-consuming process. The process is further complicated by some programs containing data obfuscation, concealing data to hide their purpose. This project introduces a knowledge graph based on the symbol table in </w:t>
      </w:r>
      <w:proofErr w:type="spellStart"/>
      <w:r>
        <w:t>Ghidra</w:t>
      </w:r>
      <w:proofErr w:type="spellEnd"/>
      <w:r>
        <w:t xml:space="preserve"> to help simplify the process of detecting malicious code.   This project can be leveraged by finding patterns at the disassembly level, as well as other data connections that can be found through defined strings and other parts of the </w:t>
      </w:r>
      <w:proofErr w:type="spellStart"/>
      <w:r>
        <w:t>Ghidra</w:t>
      </w:r>
      <w:proofErr w:type="spellEnd"/>
      <w:r>
        <w:t xml:space="preserve"> analysis. Specific patterns of interest include the frequency of certain kinds of instructions, like jump or halt instructions, cases of instructions being used incorrectly, and calls to manipulate file systems or other data. Other things to look for include seeing what imports the file uses, how much of the data is obfuscated, and if it connects to the network in any way. These patterns can be used to detect malicious behavior in executable files to facilitate identifying malware.</w:t>
      </w:r>
    </w:p>
    <w:p w14:paraId="7E350965" w14:textId="77777777" w:rsidR="000421CA" w:rsidRDefault="000421CA" w:rsidP="000421CA">
      <w:r>
        <w:br w:type="page"/>
      </w:r>
    </w:p>
    <w:p w14:paraId="53B66B1D" w14:textId="3360BD51" w:rsidR="000421CA" w:rsidRDefault="00E533E4" w:rsidP="000421CA">
      <w:pPr>
        <w:spacing w:after="0"/>
      </w:pPr>
      <w:r>
        <w:rPr>
          <w:sz w:val="24"/>
        </w:rPr>
        <w:lastRenderedPageBreak/>
        <w:t>College of Health, Education, and Human Services</w:t>
      </w:r>
    </w:p>
    <w:p w14:paraId="1838284E" w14:textId="6025DBD9" w:rsidR="000421CA" w:rsidRDefault="000421CA" w:rsidP="000421CA">
      <w:pPr>
        <w:spacing w:after="240"/>
      </w:pPr>
    </w:p>
    <w:p w14:paraId="6578A3CA" w14:textId="77777777" w:rsidR="000421CA" w:rsidRDefault="000421CA" w:rsidP="000421CA">
      <w:pPr>
        <w:spacing w:after="0"/>
      </w:pPr>
      <w:r>
        <w:rPr>
          <w:sz w:val="24"/>
        </w:rPr>
        <w:t>Unseen and Unaddressed: Barriers to Identifying IPV-Related Traumatic Brain Injuries</w:t>
      </w:r>
    </w:p>
    <w:p w14:paraId="60307085" w14:textId="5E5229F6" w:rsidR="000421CA" w:rsidRDefault="000421CA" w:rsidP="000421CA">
      <w:pPr>
        <w:spacing w:after="0"/>
      </w:pPr>
      <w:r>
        <w:rPr>
          <w:sz w:val="24"/>
        </w:rPr>
        <w:t>Mills, Emerson</w:t>
      </w:r>
    </w:p>
    <w:p w14:paraId="3D598CFC" w14:textId="11209863" w:rsidR="000421CA" w:rsidRDefault="000421CA" w:rsidP="000421CA">
      <w:pPr>
        <w:spacing w:after="240"/>
      </w:pPr>
      <w:r>
        <w:rPr>
          <w:sz w:val="24"/>
        </w:rPr>
        <w:t xml:space="preserve">Mentor: Jackson, </w:t>
      </w:r>
      <w:proofErr w:type="spellStart"/>
      <w:r>
        <w:rPr>
          <w:sz w:val="24"/>
        </w:rPr>
        <w:t>LaTrelle</w:t>
      </w:r>
      <w:proofErr w:type="spellEnd"/>
    </w:p>
    <w:p w14:paraId="2F828440" w14:textId="77777777" w:rsidR="000421CA" w:rsidRDefault="000421CA" w:rsidP="000421CA">
      <w:pPr>
        <w:spacing w:after="480"/>
      </w:pPr>
      <w:r>
        <w:t xml:space="preserve">A Traumatic Brain Injury (TBI) is among the most common forms of physical violence, with forty-two percent of women at risk for experiencing physical violence from a partner within their lifetime (Callaway &amp; Ch’ang, 2025; Costello &amp; Greenwald, 2022).  An estimated thirty to seventy-four percent of survivors seeking services have sustained a TBI, though frequently remains unrecognized and, consequently, untreated (Murray et al., 2015).   When IPV-related TBIs are untreated, this may lead to severe consequences that manifest physically, psychologically, or cognitively. However, intervention is severely impeded by barriers at multiple levels. There is a profound lack of provider training, with up to 84% of service providers and 68% of healthcare professionals reporting no prior education on these issues (Haag et al., 2019; Sprague et al., 2012). A critical gap persists in the conceptualization of intimate partner violence (IPV) and IPV-related traumatic brain injuries as a </w:t>
      </w:r>
      <w:proofErr w:type="spellStart"/>
      <w:r>
        <w:t>unfied</w:t>
      </w:r>
      <w:proofErr w:type="spellEnd"/>
      <w:r>
        <w:t xml:space="preserve"> clinical entity. This created a fundamental obstacle, hindering the identification, assessment, and intervention of IPV-related TBIs.   This analysis identifies critical gaps in the current understanding and proposes future directions aimed at developing education and awareness as foundational tools for advancing advocacy.</w:t>
      </w:r>
    </w:p>
    <w:p w14:paraId="3D1869E3" w14:textId="77777777" w:rsidR="000421CA" w:rsidRDefault="000421CA" w:rsidP="000421CA">
      <w:r>
        <w:br w:type="page"/>
      </w:r>
    </w:p>
    <w:p w14:paraId="6CA2ECC0" w14:textId="4A5E0941" w:rsidR="000421CA" w:rsidRDefault="00004C7D" w:rsidP="000421CA">
      <w:pPr>
        <w:spacing w:after="0"/>
      </w:pPr>
      <w:r>
        <w:rPr>
          <w:sz w:val="24"/>
        </w:rPr>
        <w:lastRenderedPageBreak/>
        <w:t>College of Science and Mathematics</w:t>
      </w:r>
    </w:p>
    <w:p w14:paraId="41615FEF" w14:textId="235DCD13" w:rsidR="000421CA" w:rsidRDefault="000421CA" w:rsidP="000421CA">
      <w:pPr>
        <w:spacing w:after="240"/>
      </w:pPr>
    </w:p>
    <w:p w14:paraId="5083CEF6" w14:textId="77777777" w:rsidR="000421CA" w:rsidRDefault="000421CA" w:rsidP="000421CA">
      <w:pPr>
        <w:spacing w:after="0"/>
      </w:pPr>
      <w:r>
        <w:rPr>
          <w:sz w:val="24"/>
        </w:rPr>
        <w:t>Investigating the Enhancer Effect of Membrane Trafficking Proteins on α-synuclein Toxicity</w:t>
      </w:r>
    </w:p>
    <w:p w14:paraId="6BA79333" w14:textId="379A45F7" w:rsidR="000421CA" w:rsidRDefault="000421CA" w:rsidP="000421CA">
      <w:pPr>
        <w:spacing w:after="0"/>
      </w:pPr>
      <w:r>
        <w:rPr>
          <w:sz w:val="24"/>
        </w:rPr>
        <w:t>Minassian, Christina</w:t>
      </w:r>
    </w:p>
    <w:p w14:paraId="16C6F195" w14:textId="347AF756" w:rsidR="000421CA" w:rsidRDefault="000421CA" w:rsidP="000421CA">
      <w:pPr>
        <w:spacing w:after="240"/>
      </w:pPr>
      <w:r>
        <w:rPr>
          <w:sz w:val="24"/>
        </w:rPr>
        <w:t>Mentor: Zhong, Quan</w:t>
      </w:r>
    </w:p>
    <w:p w14:paraId="692EA3BD" w14:textId="77777777" w:rsidR="000421CA" w:rsidRDefault="000421CA" w:rsidP="000421CA">
      <w:pPr>
        <w:spacing w:after="480"/>
      </w:pPr>
      <w:r>
        <w:t>α-Synuclein is a 140-amino acid protein encoded by the SNCA gene. It is primarily expressed in presynaptic terminals, where it plays a role in the vesicular trafficking of neurotransmitters through interaction with the SNARE complex. Under pathological conditions, α-synuclein forms insoluble aggregates known as Lewy bodies, leading to the development of Parkinson’s disease. Through genome-wide screens, 17 human genes with known roles in membrane trafficking pathways have been identified to enhance the toxicity of α-synuclein. My research aims to understand the relationship between these toxicity-enhancing genes and α-synuclein as well as their effects on membrane trafficking.</w:t>
      </w:r>
    </w:p>
    <w:p w14:paraId="3D4C75DB" w14:textId="77777777" w:rsidR="000421CA" w:rsidRDefault="000421CA" w:rsidP="000421CA">
      <w:r>
        <w:br w:type="page"/>
      </w:r>
    </w:p>
    <w:p w14:paraId="3952377D" w14:textId="52401672" w:rsidR="000421CA" w:rsidRDefault="00004C7D" w:rsidP="000421CA">
      <w:pPr>
        <w:spacing w:after="0"/>
      </w:pPr>
      <w:r>
        <w:rPr>
          <w:sz w:val="24"/>
        </w:rPr>
        <w:lastRenderedPageBreak/>
        <w:t>College of Science and Mathematics</w:t>
      </w:r>
    </w:p>
    <w:p w14:paraId="22278397" w14:textId="31889790" w:rsidR="000421CA" w:rsidRDefault="000421CA" w:rsidP="000421CA">
      <w:pPr>
        <w:spacing w:after="240"/>
      </w:pPr>
    </w:p>
    <w:p w14:paraId="6FA82799" w14:textId="77777777" w:rsidR="000421CA" w:rsidRDefault="000421CA" w:rsidP="000421CA">
      <w:pPr>
        <w:spacing w:after="0"/>
      </w:pPr>
      <w:r>
        <w:rPr>
          <w:sz w:val="24"/>
        </w:rPr>
        <w:t>FBXL16 Depletion Activates p38-Mediated Apoptosis in Lung cancer and Breast  Cancer Cells</w:t>
      </w:r>
    </w:p>
    <w:p w14:paraId="21041A96" w14:textId="2099FA9F" w:rsidR="000421CA" w:rsidRDefault="000421CA" w:rsidP="000421CA">
      <w:pPr>
        <w:spacing w:after="0"/>
      </w:pPr>
      <w:r>
        <w:rPr>
          <w:sz w:val="24"/>
        </w:rPr>
        <w:t>Mohamed, Shahd Fathi</w:t>
      </w:r>
    </w:p>
    <w:p w14:paraId="357CA5AA" w14:textId="4E306467" w:rsidR="000421CA" w:rsidRDefault="000421CA" w:rsidP="000421CA">
      <w:pPr>
        <w:spacing w:after="240"/>
      </w:pPr>
      <w:r>
        <w:rPr>
          <w:sz w:val="24"/>
        </w:rPr>
        <w:t>Mentor: Long, Weiwen</w:t>
      </w:r>
    </w:p>
    <w:p w14:paraId="09EC34F1" w14:textId="77777777" w:rsidR="000421CA" w:rsidRDefault="000421CA" w:rsidP="000421CA">
      <w:pPr>
        <w:spacing w:after="480"/>
      </w:pPr>
      <w:r>
        <w:t>Lung cancer and breast cancers account for over one-fourth of global cancer deaths. The F-box protein FBXL16 is highly expressed in various cancers and supports tumor cell survival. Our lab has found that FBXL16 upregulates DUSP4, a phosphatase that dephosphorylates and suppresses the stress kinase p38. Since p38 promotes cell death, we hypothesize that FBXL16 depletion enhances p38 phosphorylation and activity, inducing apoptosis and suppressing cell growth. Indeed, either trainset silencing of stably depleting FBXL16 increased p38 phosphorylation, elevated the levels of pro-apoptotic markers, and reduced cell growth in both lung cancer and breast cancer cells.</w:t>
      </w:r>
    </w:p>
    <w:p w14:paraId="45B7AE48" w14:textId="77777777" w:rsidR="000421CA" w:rsidRDefault="000421CA" w:rsidP="000421CA">
      <w:r>
        <w:br w:type="page"/>
      </w:r>
    </w:p>
    <w:p w14:paraId="32A5EADB" w14:textId="33C65662" w:rsidR="000421CA" w:rsidRDefault="00004C7D" w:rsidP="000421CA">
      <w:pPr>
        <w:spacing w:after="0"/>
      </w:pPr>
      <w:r>
        <w:rPr>
          <w:sz w:val="24"/>
        </w:rPr>
        <w:lastRenderedPageBreak/>
        <w:t>College of Science and Mathematics</w:t>
      </w:r>
    </w:p>
    <w:p w14:paraId="222FA036" w14:textId="4878D1B1" w:rsidR="000421CA" w:rsidRDefault="000421CA" w:rsidP="000421CA">
      <w:pPr>
        <w:spacing w:after="240"/>
      </w:pPr>
    </w:p>
    <w:p w14:paraId="6CF93333" w14:textId="77777777" w:rsidR="000421CA" w:rsidRDefault="000421CA" w:rsidP="000421CA">
      <w:pPr>
        <w:spacing w:after="0"/>
      </w:pPr>
      <w:r>
        <w:rPr>
          <w:sz w:val="24"/>
        </w:rPr>
        <w:t>Storm Interval Scale Study of Run-off for Dry Catchments with Threshold Soil Water Content</w:t>
      </w:r>
    </w:p>
    <w:p w14:paraId="2F2E2AE8" w14:textId="673CB7C3" w:rsidR="000421CA" w:rsidRDefault="000421CA" w:rsidP="000421CA">
      <w:pPr>
        <w:spacing w:after="0"/>
      </w:pPr>
      <w:r>
        <w:rPr>
          <w:sz w:val="24"/>
        </w:rPr>
        <w:t>Mohan, Sonali</w:t>
      </w:r>
    </w:p>
    <w:p w14:paraId="1930D808" w14:textId="1F629F97" w:rsidR="000421CA" w:rsidRDefault="000421CA" w:rsidP="000421CA">
      <w:pPr>
        <w:spacing w:after="240"/>
      </w:pPr>
      <w:r>
        <w:rPr>
          <w:sz w:val="24"/>
        </w:rPr>
        <w:t>Mentor: Hunt, Allen</w:t>
      </w:r>
    </w:p>
    <w:p w14:paraId="01DC64E8" w14:textId="77777777" w:rsidR="000421CA" w:rsidRDefault="000421CA" w:rsidP="000421CA">
      <w:pPr>
        <w:spacing w:after="480"/>
      </w:pPr>
      <w:r>
        <w:t>The time scale dependence of streamflow response to precipitation is a complex problem linking annual water balance studies, surface and subsurface flow paths, and plant behavior. Storage, while seldom truly negligible, is, in fact, the dominant driver of recession, when precipitation and evapotranspiration are neglected, and may also be the largest input into streamflow elasticity at seasonal and shorter time periods. Replenishing storage has also been implicated in a change from the dry season to the wet season in the partitioning of stormwater into streamflow in dry catchments, such those with dry tropical forests. In dry regions, a rather sharp increase in streamflow past a threshold storage has been observed. Understanding the streamflow precipitation relationship is key for managing water in regions with distinct seasons and frequent droughts. A simultaneous complementary understanding of these features is proposed in an ecological optimality of the water balance. Data and interpretation that span two orders of magnitude of time scales, from one day to a season can require approximate equivalence of initial and final storage values and/or concurrent accounting for energy and water inputs. Thus, there is no fundamental contradiction between viewpoints; as long as changes in storage can be neglected over the time scale considered, optimality succeeds, at least in the catchments investigated. In particular, the same optimality condition on evapotranspiration yielded verified predictions of streamflow at seasonal and storm interval time scales. The catchments considered are located in Oman, Brazil, and the mountains of southwestern Mexico, for which sufficient data were compiled to test theory. Practical limitations may complicate extensions to other systems, unless suitable data is purposefully collected.</w:t>
      </w:r>
    </w:p>
    <w:p w14:paraId="7F17BC05" w14:textId="77777777" w:rsidR="000421CA" w:rsidRDefault="000421CA" w:rsidP="000421CA">
      <w:r>
        <w:br w:type="page"/>
      </w:r>
    </w:p>
    <w:p w14:paraId="4C94FE4F" w14:textId="46F15FA4" w:rsidR="000421CA" w:rsidRDefault="00004C7D" w:rsidP="000421CA">
      <w:pPr>
        <w:spacing w:after="0"/>
      </w:pPr>
      <w:r>
        <w:rPr>
          <w:sz w:val="24"/>
        </w:rPr>
        <w:lastRenderedPageBreak/>
        <w:t>College of Science and Mathematics</w:t>
      </w:r>
    </w:p>
    <w:p w14:paraId="408F943C" w14:textId="6F7A911A" w:rsidR="000421CA" w:rsidRDefault="000421CA" w:rsidP="000421CA">
      <w:pPr>
        <w:spacing w:after="240"/>
      </w:pPr>
    </w:p>
    <w:p w14:paraId="5F369D22" w14:textId="77777777" w:rsidR="000421CA" w:rsidRDefault="000421CA" w:rsidP="000421CA">
      <w:pPr>
        <w:spacing w:after="0"/>
      </w:pPr>
      <w:r>
        <w:rPr>
          <w:sz w:val="24"/>
        </w:rPr>
        <w:t>Experimental investigations of fluorite (CaF2) nucleation using potentiometric precipitation titrations:  Exposing a flaw in a 75-year-old theory</w:t>
      </w:r>
    </w:p>
    <w:p w14:paraId="4D370B4D" w14:textId="58CFB7A9" w:rsidR="000421CA" w:rsidRDefault="000421CA" w:rsidP="000421CA">
      <w:pPr>
        <w:spacing w:after="0"/>
      </w:pPr>
      <w:proofErr w:type="spellStart"/>
      <w:r>
        <w:rPr>
          <w:sz w:val="24"/>
        </w:rPr>
        <w:t>Morupisi</w:t>
      </w:r>
      <w:proofErr w:type="spellEnd"/>
      <w:r>
        <w:rPr>
          <w:sz w:val="24"/>
        </w:rPr>
        <w:t xml:space="preserve">, Marilyn </w:t>
      </w:r>
      <w:proofErr w:type="spellStart"/>
      <w:r>
        <w:rPr>
          <w:sz w:val="24"/>
        </w:rPr>
        <w:t>Ogolotse</w:t>
      </w:r>
      <w:proofErr w:type="spellEnd"/>
    </w:p>
    <w:p w14:paraId="53B95CAB" w14:textId="33C5B892" w:rsidR="000421CA" w:rsidRDefault="000421CA" w:rsidP="000421CA">
      <w:pPr>
        <w:spacing w:after="240"/>
      </w:pPr>
      <w:r>
        <w:rPr>
          <w:sz w:val="24"/>
        </w:rPr>
        <w:t>Mentor: Higgins, Steven</w:t>
      </w:r>
    </w:p>
    <w:p w14:paraId="0924E1D8" w14:textId="77777777" w:rsidR="000421CA" w:rsidRDefault="000421CA" w:rsidP="000421CA">
      <w:pPr>
        <w:spacing w:after="480"/>
      </w:pPr>
      <w:r>
        <w:t>Nucleation of solids from supersaturated solutions has been intensely studied for the last few decades in a variety of systems including metals, semiconductors and ionic materials.  In this work, we focus on the nucleation of fluorite (crystalline CaF2) through potentiometric precipitation titrations.  Results will demonstrate that the scientific understanding of the 1950 Lamer theory, which has been cited over 3000 times in the literature, is incorrect and can in turn lead to misinterpretations of titration results.  Initial results will also be presented that call into question the very design of precipitation titrations.</w:t>
      </w:r>
    </w:p>
    <w:p w14:paraId="66F8C726" w14:textId="77777777" w:rsidR="000421CA" w:rsidRDefault="000421CA" w:rsidP="000421CA">
      <w:r>
        <w:br w:type="page"/>
      </w:r>
    </w:p>
    <w:p w14:paraId="70FCF908" w14:textId="4AD82995" w:rsidR="000421CA" w:rsidRDefault="00004C7D" w:rsidP="000421CA">
      <w:pPr>
        <w:spacing w:after="0"/>
      </w:pPr>
      <w:r>
        <w:rPr>
          <w:sz w:val="24"/>
        </w:rPr>
        <w:lastRenderedPageBreak/>
        <w:t>College of Science and Mathematics</w:t>
      </w:r>
    </w:p>
    <w:p w14:paraId="33EAAE41" w14:textId="3EA75A53" w:rsidR="000421CA" w:rsidRDefault="000421CA" w:rsidP="000421CA">
      <w:pPr>
        <w:spacing w:after="240"/>
      </w:pPr>
    </w:p>
    <w:p w14:paraId="22A401C4" w14:textId="77777777" w:rsidR="000421CA" w:rsidRDefault="000421CA" w:rsidP="000421CA">
      <w:pPr>
        <w:spacing w:after="0"/>
      </w:pPr>
      <w:r>
        <w:rPr>
          <w:sz w:val="24"/>
        </w:rPr>
        <w:t xml:space="preserve">Investigating the pre-nucleation and post-nucleation regions of the </w:t>
      </w:r>
      <w:proofErr w:type="spellStart"/>
      <w:r>
        <w:rPr>
          <w:sz w:val="24"/>
        </w:rPr>
        <w:t>LaMer</w:t>
      </w:r>
      <w:proofErr w:type="spellEnd"/>
      <w:r>
        <w:rPr>
          <w:sz w:val="24"/>
        </w:rPr>
        <w:t xml:space="preserve"> diagram using fluoride ion selective electrode potentiometric precipitation titrations</w:t>
      </w:r>
    </w:p>
    <w:p w14:paraId="08E47EAB" w14:textId="741758BE" w:rsidR="000421CA" w:rsidRDefault="000421CA" w:rsidP="000421CA">
      <w:pPr>
        <w:spacing w:after="0"/>
      </w:pPr>
      <w:proofErr w:type="spellStart"/>
      <w:r>
        <w:rPr>
          <w:sz w:val="24"/>
        </w:rPr>
        <w:t>Mosesane</w:t>
      </w:r>
      <w:proofErr w:type="spellEnd"/>
      <w:r>
        <w:rPr>
          <w:sz w:val="24"/>
        </w:rPr>
        <w:t xml:space="preserve">, </w:t>
      </w:r>
      <w:proofErr w:type="spellStart"/>
      <w:r>
        <w:rPr>
          <w:sz w:val="24"/>
        </w:rPr>
        <w:t>Mosesane</w:t>
      </w:r>
      <w:proofErr w:type="spellEnd"/>
      <w:r>
        <w:rPr>
          <w:sz w:val="24"/>
        </w:rPr>
        <w:t xml:space="preserve"> </w:t>
      </w:r>
      <w:proofErr w:type="spellStart"/>
      <w:r>
        <w:rPr>
          <w:sz w:val="24"/>
        </w:rPr>
        <w:t>Pusetso</w:t>
      </w:r>
      <w:proofErr w:type="spellEnd"/>
    </w:p>
    <w:p w14:paraId="40DC1E05" w14:textId="3EB456ED" w:rsidR="000421CA" w:rsidRDefault="000421CA" w:rsidP="000421CA">
      <w:pPr>
        <w:spacing w:after="240"/>
      </w:pPr>
      <w:r>
        <w:rPr>
          <w:sz w:val="24"/>
        </w:rPr>
        <w:t>Mentor: Higgins, Steven</w:t>
      </w:r>
    </w:p>
    <w:p w14:paraId="57786C9F" w14:textId="77777777" w:rsidR="000421CA" w:rsidRDefault="000421CA" w:rsidP="000421CA">
      <w:pPr>
        <w:spacing w:after="480"/>
      </w:pPr>
      <w:r>
        <w:t>Classical nucleation theory has been used to interpret nucleation processes for nearly a century. However, a recent non classical model proposes that phase change and crystal growth involves the formation of thermodynamically stable pre nucleation clusters under both undersaturated and supersaturated conditions. In this work, we investigate the nucleation behavior of fluorite (</w:t>
      </w:r>
      <w:proofErr w:type="spellStart"/>
      <w:r>
        <w:t>CaF</w:t>
      </w:r>
      <w:proofErr w:type="spellEnd"/>
      <w:r>
        <w:t xml:space="preserve">₂) using potentiometric titrations. Drawing on ion pair formation constants, stopped flow measurements, stirring rate studies, comparisons of small  versus large diameter titrant tubing and prolonged dilute titrant experiments, we present evidence that a fundamental flaw exists in the traditional </w:t>
      </w:r>
      <w:proofErr w:type="spellStart"/>
      <w:r>
        <w:t>LaMer</w:t>
      </w:r>
      <w:proofErr w:type="spellEnd"/>
      <w:r>
        <w:t xml:space="preserve"> diagram: one with significant implications for the broader study of nucleation phenomena.</w:t>
      </w:r>
    </w:p>
    <w:p w14:paraId="41EC028D" w14:textId="77777777" w:rsidR="000421CA" w:rsidRDefault="000421CA" w:rsidP="000421CA">
      <w:r>
        <w:br w:type="page"/>
      </w:r>
    </w:p>
    <w:p w14:paraId="162ABF8E" w14:textId="6FEC607D" w:rsidR="000421CA" w:rsidRDefault="00441698" w:rsidP="000421CA">
      <w:pPr>
        <w:spacing w:after="0"/>
      </w:pPr>
      <w:r>
        <w:rPr>
          <w:sz w:val="24"/>
        </w:rPr>
        <w:lastRenderedPageBreak/>
        <w:t>Boonshoft School of Medicine</w:t>
      </w:r>
    </w:p>
    <w:p w14:paraId="01036662" w14:textId="18777838" w:rsidR="000421CA" w:rsidRDefault="000421CA" w:rsidP="000421CA">
      <w:pPr>
        <w:spacing w:after="240"/>
      </w:pPr>
    </w:p>
    <w:p w14:paraId="6C63214C" w14:textId="77777777" w:rsidR="000421CA" w:rsidRDefault="000421CA" w:rsidP="000421CA">
      <w:pPr>
        <w:spacing w:after="0"/>
      </w:pPr>
      <w:r>
        <w:rPr>
          <w:sz w:val="24"/>
        </w:rPr>
        <w:t>Efficacy of  combining an antifungal drug and  a selective estrogen receptor modulator in triple-negative breast cancer</w:t>
      </w:r>
    </w:p>
    <w:p w14:paraId="320163F6" w14:textId="3CEE0CF7" w:rsidR="000421CA" w:rsidRDefault="000421CA" w:rsidP="000421CA">
      <w:pPr>
        <w:spacing w:after="0"/>
      </w:pPr>
      <w:r>
        <w:rPr>
          <w:sz w:val="24"/>
        </w:rPr>
        <w:t>Nalla, Deepthi</w:t>
      </w:r>
    </w:p>
    <w:p w14:paraId="7A6497E0" w14:textId="13743500" w:rsidR="000421CA" w:rsidRDefault="000421CA" w:rsidP="000421CA">
      <w:pPr>
        <w:spacing w:after="240"/>
      </w:pPr>
      <w:r>
        <w:rPr>
          <w:sz w:val="24"/>
        </w:rPr>
        <w:t>Mentor: Sahu, Ravi</w:t>
      </w:r>
    </w:p>
    <w:p w14:paraId="00235F78" w14:textId="77777777" w:rsidR="000421CA" w:rsidRDefault="000421CA" w:rsidP="000421CA">
      <w:pPr>
        <w:spacing w:after="480"/>
      </w:pPr>
      <w:r>
        <w:t xml:space="preserve">Breast cancer is the most frequently diagnosed malignancy among women worldwide and a leading cause of cancer-related mortality. Triple-negative breast cancer (TNBC) represents the most aggressive subtype, characterized by poor clinical outcomes, early metastasis, and high recurrence rates. Due to the absence of estrogen, progesterone, and HER2 receptors, chemotherapy remains the primary treatment option, highlighting the urgent need for effective targeted therapies. Increasing evidence implicates cancer stem cells (CSCs) in TNBC aggressiveness, therapeutic resistance, and disease relapse. As multiple signaling pathways mediate cancer cell progression and chemotherapy resistance, drug repurposing offers a promising strategy to reduce development time and cost while improving therapeutic outcomes. Among various repurposed drugs, an FDA-approved antifungal agent, ketoconazole, and selective estrogen receptor modulator (SERM), bazedoxifene have been explored against malignancies, including TNBC. The anticancer mechanism of ketoconazole involves an inhibition of Hedgehog/GLI signaling (including tGLI1), and bazedoxifene involves glycoprotein 130 (GP130) inhibition, leading to the suppression of interleukin 6 (IL-6)-mediated signal transducer and activator of transcription 3 (STAT3) signaling. Both preclinical and clinical studies demonstrate frequent co-overexpression and co-activation of tGLI1 and GP130, and their combined inhibition by ketoconazole and bazedoxifene significantly reduces tumor growth, metastatic burden, CSC markers in TNBC patient-derived xenografts and mouse models without affecting normal cells. The goal of this study is to highlight mechanistic insights and therapeutic potential of ketoconazole and bazedoxifene combination in preclinical and clinical studies with an emphasis on TNBC treatment.   Key words:  Triple-negative breast cancer (TNBC), tGLI1, STAT3,IL-6, GP130, Ketoconazole (KCZ), Bazedoxifene (BZA),Combination </w:t>
      </w:r>
      <w:proofErr w:type="spellStart"/>
      <w:r>
        <w:t>therapy,Breast</w:t>
      </w:r>
      <w:proofErr w:type="spellEnd"/>
      <w:r>
        <w:t xml:space="preserve"> cancer stem cells (CSCs).</w:t>
      </w:r>
    </w:p>
    <w:p w14:paraId="68123211" w14:textId="77777777" w:rsidR="000421CA" w:rsidRDefault="000421CA" w:rsidP="000421CA">
      <w:r>
        <w:br w:type="page"/>
      </w:r>
    </w:p>
    <w:p w14:paraId="1D17AE37" w14:textId="2EA30B9A" w:rsidR="000421CA" w:rsidRDefault="00B537EA" w:rsidP="000421CA">
      <w:pPr>
        <w:spacing w:after="0"/>
      </w:pPr>
      <w:r>
        <w:rPr>
          <w:sz w:val="24"/>
        </w:rPr>
        <w:lastRenderedPageBreak/>
        <w:t>College of Engineering and Computer Science</w:t>
      </w:r>
    </w:p>
    <w:p w14:paraId="30833565" w14:textId="1A39C9C0" w:rsidR="000421CA" w:rsidRDefault="000421CA" w:rsidP="000421CA">
      <w:pPr>
        <w:spacing w:after="240"/>
      </w:pPr>
    </w:p>
    <w:p w14:paraId="1963D867" w14:textId="77777777" w:rsidR="000421CA" w:rsidRDefault="000421CA" w:rsidP="000421CA">
      <w:pPr>
        <w:spacing w:after="0"/>
      </w:pPr>
      <w:r>
        <w:rPr>
          <w:sz w:val="24"/>
        </w:rPr>
        <w:t>Knowledge Graph as a Defense Methodology Against Poisoning Attacks</w:t>
      </w:r>
    </w:p>
    <w:p w14:paraId="2671AE9A" w14:textId="2CA3BF35" w:rsidR="000421CA" w:rsidRDefault="000421CA" w:rsidP="000421CA">
      <w:pPr>
        <w:spacing w:after="0"/>
      </w:pPr>
      <w:r>
        <w:rPr>
          <w:sz w:val="24"/>
        </w:rPr>
        <w:t>Nam, Jinho</w:t>
      </w:r>
    </w:p>
    <w:p w14:paraId="724412D9" w14:textId="20EB1525" w:rsidR="000421CA" w:rsidRDefault="000421CA" w:rsidP="000421CA">
      <w:pPr>
        <w:spacing w:after="240"/>
      </w:pPr>
      <w:r>
        <w:rPr>
          <w:sz w:val="24"/>
        </w:rPr>
        <w:t>Mentor: Shimizu, Cogan</w:t>
      </w:r>
    </w:p>
    <w:p w14:paraId="389404EB" w14:textId="77777777" w:rsidR="000421CA" w:rsidRDefault="000421CA" w:rsidP="000421CA">
      <w:pPr>
        <w:spacing w:after="480"/>
      </w:pPr>
      <w:r>
        <w:t>As AI progresses, the importance of AI security increases as well. Poisoning attacks compromise a model integrity by injecting malicious data during training, causing degraded performance or a targeted misbehavior. Knowledge Graph based defense will verify data integrity with its semantic consistency and contribute to the security and explainability of AI.</w:t>
      </w:r>
    </w:p>
    <w:p w14:paraId="218D8F67" w14:textId="77777777" w:rsidR="000421CA" w:rsidRDefault="000421CA" w:rsidP="000421CA">
      <w:r>
        <w:br w:type="page"/>
      </w:r>
    </w:p>
    <w:p w14:paraId="4EC328B3" w14:textId="2BA02D58" w:rsidR="000421CA" w:rsidRDefault="00441698" w:rsidP="000421CA">
      <w:pPr>
        <w:spacing w:after="0"/>
      </w:pPr>
      <w:r>
        <w:rPr>
          <w:sz w:val="24"/>
        </w:rPr>
        <w:lastRenderedPageBreak/>
        <w:t>Boonshoft School of Medicine</w:t>
      </w:r>
    </w:p>
    <w:p w14:paraId="2FFD4367" w14:textId="0DE71E7A" w:rsidR="000421CA" w:rsidRDefault="000421CA" w:rsidP="000421CA">
      <w:pPr>
        <w:spacing w:after="240"/>
      </w:pPr>
    </w:p>
    <w:p w14:paraId="4CA933F7" w14:textId="77777777" w:rsidR="000421CA" w:rsidRDefault="000421CA" w:rsidP="000421CA">
      <w:pPr>
        <w:spacing w:after="0"/>
      </w:pPr>
      <w:r>
        <w:rPr>
          <w:sz w:val="24"/>
        </w:rPr>
        <w:t>Checkpoint Regulation of the Cell Cycle</w:t>
      </w:r>
    </w:p>
    <w:p w14:paraId="123B7B47" w14:textId="76A61243" w:rsidR="000421CA" w:rsidRDefault="000421CA" w:rsidP="000421CA">
      <w:pPr>
        <w:spacing w:after="0"/>
      </w:pPr>
      <w:r>
        <w:rPr>
          <w:sz w:val="24"/>
        </w:rPr>
        <w:t>Narayana Reddy Gari, Manasa Reddy</w:t>
      </w:r>
    </w:p>
    <w:p w14:paraId="0EF4FF87" w14:textId="5C1788C7" w:rsidR="000421CA" w:rsidRDefault="000421CA" w:rsidP="000421CA">
      <w:pPr>
        <w:spacing w:after="240"/>
      </w:pPr>
      <w:r>
        <w:rPr>
          <w:sz w:val="24"/>
        </w:rPr>
        <w:t>Mentor: Yong-Jie, Dr. Xu</w:t>
      </w:r>
    </w:p>
    <w:p w14:paraId="67FBA260" w14:textId="77777777" w:rsidR="000421CA" w:rsidRDefault="000421CA" w:rsidP="000421CA">
      <w:pPr>
        <w:spacing w:after="480"/>
      </w:pPr>
      <w:r>
        <w:t xml:space="preserve">Cell is a basic functional unit of a living organism. Ever amazed how a single gamete cell can produce an entire organism, it occurs by a tightly regulated process called Cell Cycle. Growth of a living organism is exhibited by the cell cycle. The cell cycle is divided into two phases: Interphase and Mitosis Phase. Interphase is subdivided into G1, S and G2 Phases, followed by entry into Mitosis Phase. This cell cycle progression is controlled by a safety and quality mechanism called Checkpoint Mechanism. These checkpoints monitor and correct the errors occurring in each phase of the cell cycle. Cell cycle progression is mainly controlled by 4 checkpoint mechanisms, G1 Checkpoint, S phase Checkpoint, G2/M Checkpoint and Spindle Assembly Checkpoint. Progression of cell cycle depends on the functioning of Cyclins and Cyclin Dependent Kinase protein complexes ensuring proper chromosomal segregation and maintaining genomic integrity. In response to DNA damage, checkpoint signaling pathways are activated through ATR/ATM sensor kinases which halts cell cycle progression and allow repair mechanisms to prevent propagation of damaged cells. Checkpoint dysregulation results in uncontrolled cell division, tumor development and shows </w:t>
      </w:r>
      <w:proofErr w:type="spellStart"/>
      <w:r>
        <w:t>affects</w:t>
      </w:r>
      <w:proofErr w:type="spellEnd"/>
      <w:r>
        <w:t xml:space="preserve"> on aging and stem cell maintenance. Targeting dysregulated checkpoints and cyclin proteins emerged as an important mechanism in cancer treatment. Synthetic lethality of PARPs inhibitors with cell cycle checkpoint inhibitors </w:t>
      </w:r>
      <w:proofErr w:type="gramStart"/>
      <w:r>
        <w:t>show</w:t>
      </w:r>
      <w:proofErr w:type="gramEnd"/>
      <w:r>
        <w:t xml:space="preserve"> promising strategy to treat cancer.</w:t>
      </w:r>
    </w:p>
    <w:p w14:paraId="3B912FE4" w14:textId="77777777" w:rsidR="000421CA" w:rsidRDefault="000421CA" w:rsidP="000421CA">
      <w:r>
        <w:br w:type="page"/>
      </w:r>
    </w:p>
    <w:p w14:paraId="4BE710B3" w14:textId="3A8B8FFC" w:rsidR="000421CA" w:rsidRDefault="00820D98" w:rsidP="000421CA">
      <w:pPr>
        <w:spacing w:after="0"/>
      </w:pPr>
      <w:r>
        <w:rPr>
          <w:sz w:val="24"/>
        </w:rPr>
        <w:lastRenderedPageBreak/>
        <w:t>College of Engineering and Computer Science</w:t>
      </w:r>
    </w:p>
    <w:p w14:paraId="50D893F7" w14:textId="77777777" w:rsidR="00240237" w:rsidRDefault="00240237" w:rsidP="000421CA">
      <w:pPr>
        <w:spacing w:after="240"/>
        <w:rPr>
          <w:sz w:val="24"/>
        </w:rPr>
      </w:pPr>
    </w:p>
    <w:p w14:paraId="2F662716" w14:textId="77777777" w:rsidR="000421CA" w:rsidRDefault="000421CA" w:rsidP="000421CA">
      <w:pPr>
        <w:spacing w:after="0"/>
      </w:pPr>
      <w:r>
        <w:rPr>
          <w:sz w:val="24"/>
        </w:rPr>
        <w:t>Adaptive Cluster Selection via Supervised Optimization</w:t>
      </w:r>
    </w:p>
    <w:p w14:paraId="7CF6310F" w14:textId="63551AF2" w:rsidR="000421CA" w:rsidRDefault="000421CA" w:rsidP="000421CA">
      <w:pPr>
        <w:spacing w:after="0"/>
      </w:pPr>
      <w:r>
        <w:rPr>
          <w:sz w:val="24"/>
        </w:rPr>
        <w:t>Narendran, Rithika</w:t>
      </w:r>
    </w:p>
    <w:p w14:paraId="0BC503E3" w14:textId="52F7966C" w:rsidR="000421CA" w:rsidRDefault="000421CA" w:rsidP="000421CA">
      <w:pPr>
        <w:spacing w:after="240"/>
      </w:pPr>
      <w:r>
        <w:rPr>
          <w:sz w:val="24"/>
        </w:rPr>
        <w:t xml:space="preserve">Mentor: Ghosh, </w:t>
      </w:r>
      <w:proofErr w:type="spellStart"/>
      <w:r>
        <w:rPr>
          <w:sz w:val="24"/>
        </w:rPr>
        <w:t>Tomojit</w:t>
      </w:r>
      <w:proofErr w:type="spellEnd"/>
    </w:p>
    <w:p w14:paraId="2032E379" w14:textId="77777777" w:rsidR="000421CA" w:rsidRDefault="000421CA" w:rsidP="000421CA">
      <w:pPr>
        <w:spacing w:after="480"/>
      </w:pPr>
      <w:r>
        <w:t>Estimating the appropriate number of clusters (K) is a fundamental problem in clustering and arises in both supervised and unsupervised learning settings. In this work, we focus on the supervised clustering scenario, where class labels are available to guide the clustering process. Most existing approaches determine the optimal number of clusters through repeated evaluation and model selection procedures, which can be computationally expensive and data dependent.   We propose a supervised, sparsity-driven framework that automatically determines the number of clusters based on the underlying structure of the dataset. Given a labeled dataset, the input space is first mapped into a feature space using a Radial Basis Functions using Gaussian kernel to enable nonlinear separation of complex patterns. The number of clusters is initially set to a large upper bound (K=</w:t>
      </w:r>
      <w:proofErr w:type="spellStart"/>
      <w:r>
        <w:t>Kmax</w:t>
      </w:r>
      <w:proofErr w:type="spellEnd"/>
      <w:r>
        <w:t>) and is further refined through L1-regularization to induce sparsity. This regularization promotes the elimination of redundant or insignificant clusters by shrinking trivial components toward zero, while preserving meaningful cluster structures.   The proposed approach provides an efficient and principled mechanism for adaptive cluster selection in supervised learning, reducing reliance on exhaustive search and improving model interpretability.</w:t>
      </w:r>
    </w:p>
    <w:p w14:paraId="5B4D61C9" w14:textId="77777777" w:rsidR="000421CA" w:rsidRDefault="000421CA" w:rsidP="000421CA">
      <w:r>
        <w:br w:type="page"/>
      </w:r>
    </w:p>
    <w:p w14:paraId="42AD4B23" w14:textId="61A0C2A9" w:rsidR="000421CA" w:rsidRDefault="00441698" w:rsidP="000421CA">
      <w:pPr>
        <w:spacing w:after="0"/>
      </w:pPr>
      <w:r>
        <w:rPr>
          <w:sz w:val="24"/>
        </w:rPr>
        <w:lastRenderedPageBreak/>
        <w:t>Boonshoft School of Medicine</w:t>
      </w:r>
    </w:p>
    <w:p w14:paraId="0D2865DE" w14:textId="3A60B65B" w:rsidR="000421CA" w:rsidRDefault="000421CA" w:rsidP="000421CA">
      <w:pPr>
        <w:spacing w:after="240"/>
      </w:pPr>
    </w:p>
    <w:p w14:paraId="52A0227B" w14:textId="77777777" w:rsidR="000421CA" w:rsidRDefault="000421CA" w:rsidP="000421CA">
      <w:pPr>
        <w:spacing w:after="0"/>
      </w:pPr>
      <w:r>
        <w:rPr>
          <w:sz w:val="24"/>
        </w:rPr>
        <w:t>WEE1 Inhibition in Ovarian Cancer: Exploiting Replication Stress for Chemotherapy</w:t>
      </w:r>
    </w:p>
    <w:p w14:paraId="6457B81A" w14:textId="0B96CD71" w:rsidR="000421CA" w:rsidRDefault="000421CA" w:rsidP="000421CA">
      <w:pPr>
        <w:spacing w:after="0"/>
      </w:pPr>
      <w:r>
        <w:rPr>
          <w:sz w:val="24"/>
        </w:rPr>
        <w:t xml:space="preserve">Nazneen, </w:t>
      </w:r>
      <w:proofErr w:type="spellStart"/>
      <w:r>
        <w:rPr>
          <w:sz w:val="24"/>
        </w:rPr>
        <w:t>Rahath</w:t>
      </w:r>
      <w:proofErr w:type="spellEnd"/>
    </w:p>
    <w:p w14:paraId="143E9B1C" w14:textId="33540C18" w:rsidR="000421CA" w:rsidRDefault="000421CA" w:rsidP="000421CA">
      <w:pPr>
        <w:spacing w:after="240"/>
      </w:pPr>
      <w:r>
        <w:rPr>
          <w:sz w:val="24"/>
        </w:rPr>
        <w:t xml:space="preserve">Mentor: Yong </w:t>
      </w:r>
      <w:proofErr w:type="spellStart"/>
      <w:r>
        <w:rPr>
          <w:sz w:val="24"/>
        </w:rPr>
        <w:t>jie</w:t>
      </w:r>
      <w:proofErr w:type="spellEnd"/>
      <w:r>
        <w:rPr>
          <w:sz w:val="24"/>
        </w:rPr>
        <w:t>, xu</w:t>
      </w:r>
    </w:p>
    <w:p w14:paraId="40D13699" w14:textId="77777777" w:rsidR="000421CA" w:rsidRDefault="000421CA" w:rsidP="000421CA">
      <w:pPr>
        <w:spacing w:after="480"/>
      </w:pPr>
      <w:r>
        <w:t xml:space="preserve">ABSTRACT:  High-grade serous ovarian cancer (HGSOC) is associated with abnormal cell-cycle regulation, persistent replication stress, and frequent TP53 mutations, all of which contribute to genomic instability and treatment resistance. To cope with this stress, ovarian cancer cells depend strongly on cell-cycle checkpoints, particularly the G2-M checkpoint controlled by WEE1 kinase. Although platinum-based chemotherapy remains the mainstay of treatment, long-term benefit is often limited, highlighting the need for therapies that target these underlying biological vulnerabilities. This review examines existing preclinical and clinical evidence supporting the use of </w:t>
      </w:r>
      <w:proofErr w:type="spellStart"/>
      <w:r>
        <w:t>adavosertib</w:t>
      </w:r>
      <w:proofErr w:type="spellEnd"/>
      <w:r>
        <w:t xml:space="preserve"> (AZD1775), a selective WEE1 inhibitor, in ovarian cancer. Studies consistently show that inhibition of WEE1 disrupts checkpoint control, increases replication-associated DNA damage, and limits the ability of cancer cells to repair genomic lesions, ultimately leading to premature mitotic entry and cell death. These effects are especially pronounced in tumors with TP53 mutations, CCNE1 amplification, and elevated CDK activity. Pharmacokinetic and pharmacodynamic findings suggest that </w:t>
      </w:r>
      <w:proofErr w:type="spellStart"/>
      <w:r>
        <w:t>adavosertib</w:t>
      </w:r>
      <w:proofErr w:type="spellEnd"/>
      <w:r>
        <w:t xml:space="preserve"> is suitable for clinical use, particularly in combination with DNA-damaging agents. Clinical data indicate that combining </w:t>
      </w:r>
      <w:proofErr w:type="spellStart"/>
      <w:r>
        <w:t>adavosertib</w:t>
      </w:r>
      <w:proofErr w:type="spellEnd"/>
      <w:r>
        <w:t xml:space="preserve"> with chemotherapy is associated with prolonged disease control and durable responses in selected patient populations. Overall, current evidence supports WEE1 inhibition as a promising, biomarker-guided strategy for improving therapeutic outcomes in ovarian cancer and warrants further investigation in optimized combination treatment settings.</w:t>
      </w:r>
    </w:p>
    <w:p w14:paraId="3528529D" w14:textId="77777777" w:rsidR="000421CA" w:rsidRDefault="000421CA" w:rsidP="000421CA">
      <w:r>
        <w:br w:type="page"/>
      </w:r>
    </w:p>
    <w:p w14:paraId="66F6325D" w14:textId="31BF0E75" w:rsidR="000421CA" w:rsidRDefault="00820D98" w:rsidP="000421CA">
      <w:pPr>
        <w:spacing w:after="0"/>
      </w:pPr>
      <w:r>
        <w:rPr>
          <w:sz w:val="24"/>
        </w:rPr>
        <w:lastRenderedPageBreak/>
        <w:t>College of Engineering and Computer Science</w:t>
      </w:r>
    </w:p>
    <w:p w14:paraId="1D419723" w14:textId="77777777" w:rsidR="006C7D43" w:rsidRDefault="006C7D43" w:rsidP="000421CA">
      <w:pPr>
        <w:spacing w:after="0"/>
        <w:rPr>
          <w:sz w:val="24"/>
        </w:rPr>
      </w:pPr>
    </w:p>
    <w:p w14:paraId="54063C25" w14:textId="77777777" w:rsidR="006C7D43" w:rsidRDefault="006C7D43" w:rsidP="000421CA">
      <w:pPr>
        <w:spacing w:after="0"/>
        <w:rPr>
          <w:sz w:val="24"/>
        </w:rPr>
      </w:pPr>
    </w:p>
    <w:p w14:paraId="4AEA6640" w14:textId="0EA64F6C" w:rsidR="000421CA" w:rsidRDefault="000421CA" w:rsidP="000421CA">
      <w:pPr>
        <w:spacing w:after="0"/>
      </w:pPr>
      <w:r>
        <w:rPr>
          <w:sz w:val="24"/>
        </w:rPr>
        <w:t>Prediction of Imminent Battery Depletion in Implantable Car-</w:t>
      </w:r>
      <w:proofErr w:type="spellStart"/>
      <w:r>
        <w:rPr>
          <w:sz w:val="24"/>
        </w:rPr>
        <w:t>dioverter</w:t>
      </w:r>
      <w:proofErr w:type="spellEnd"/>
      <w:r>
        <w:rPr>
          <w:sz w:val="24"/>
        </w:rPr>
        <w:t>-Defibrillator</w:t>
      </w:r>
    </w:p>
    <w:p w14:paraId="1D61907A" w14:textId="77777777" w:rsidR="000421CA" w:rsidRDefault="000421CA" w:rsidP="000421CA">
      <w:pPr>
        <w:spacing w:after="0"/>
      </w:pPr>
      <w:r>
        <w:rPr>
          <w:sz w:val="24"/>
        </w:rPr>
        <w:t xml:space="preserve"> Neupane, </w:t>
      </w:r>
      <w:proofErr w:type="spellStart"/>
      <w:r>
        <w:rPr>
          <w:sz w:val="24"/>
        </w:rPr>
        <w:t>Samikshya</w:t>
      </w:r>
      <w:proofErr w:type="spellEnd"/>
    </w:p>
    <w:p w14:paraId="42F04906" w14:textId="77777777" w:rsidR="000421CA" w:rsidRDefault="000421CA" w:rsidP="000421CA">
      <w:pPr>
        <w:spacing w:after="240"/>
      </w:pPr>
      <w:r>
        <w:rPr>
          <w:sz w:val="24"/>
        </w:rPr>
        <w:t xml:space="preserve"> Mentor: Goswami, Tarun</w:t>
      </w:r>
    </w:p>
    <w:p w14:paraId="172E4792" w14:textId="77777777" w:rsidR="000421CA" w:rsidRDefault="000421CA" w:rsidP="000421CA">
      <w:pPr>
        <w:spacing w:after="480"/>
      </w:pPr>
      <w:r>
        <w:t xml:space="preserve">Implantable cardioverter-defibrillators (ICDs) are critical devices used to prevent sudden cardiac death in patients with severe cardiac disease. However, unexpected battery depletion can lead to unplanned generator replacements and device-related complications. This study investigates the feasibility of using machine learning techniques to predict early battery-depletion risk from device-interrogation telemetry data. A dataset comprising 41 retrieved ICD devices was analyzed, with 32 used for training and 9 for independent testing. To address the limitation of a small sample size, Gaussian Mixture Model (GMM) based synthetic data augmentation was applied to the training set. Five supervised learning algorithms: Logistic Regression, Random Forest, Support Vector Machine (SVM), </w:t>
      </w:r>
      <w:proofErr w:type="spellStart"/>
      <w:r>
        <w:t>CatBoost</w:t>
      </w:r>
      <w:proofErr w:type="spellEnd"/>
      <w:r>
        <w:t>, and a Neural Network were evaluated using repeated stratified cross-validation with real-only validation. Among the models, SVM demonstrated the highest cross-validated discrimination, while Logistic Regression achieved the best performance on the independent test set. Feature importance analysis consistently identified atrial sensing amplitude, RV/LV capture thresholds, programmed output parameters, and implant duration as key predictors of elevated risk of battery depletion. These findings demonstrate that telemetry-driven machine learning models can potentially support early detection of ICD battery depletion risk and may enable improved device monitoring and replacement planning.  Keywords: implantable cardioverter-defibrillator; battery depletion prediction; machine learning; predictive maintenance; synthetic data augmentation</w:t>
      </w:r>
    </w:p>
    <w:p w14:paraId="657C5E17" w14:textId="77777777" w:rsidR="000421CA" w:rsidRDefault="000421CA" w:rsidP="000421CA">
      <w:r>
        <w:br w:type="page"/>
      </w:r>
    </w:p>
    <w:p w14:paraId="6F327F14" w14:textId="1F515507" w:rsidR="000421CA" w:rsidRDefault="00004C7D" w:rsidP="000421CA">
      <w:pPr>
        <w:spacing w:after="0"/>
      </w:pPr>
      <w:r>
        <w:rPr>
          <w:sz w:val="24"/>
        </w:rPr>
        <w:lastRenderedPageBreak/>
        <w:t>College of Science and Mathematics</w:t>
      </w:r>
    </w:p>
    <w:p w14:paraId="7F422397" w14:textId="2D081B41" w:rsidR="000421CA" w:rsidRDefault="000421CA" w:rsidP="000421CA">
      <w:pPr>
        <w:spacing w:after="240"/>
      </w:pPr>
    </w:p>
    <w:p w14:paraId="19DC6988" w14:textId="77777777" w:rsidR="000421CA" w:rsidRDefault="000421CA" w:rsidP="000421CA">
      <w:pPr>
        <w:spacing w:after="0"/>
      </w:pPr>
      <w:r>
        <w:rPr>
          <w:sz w:val="24"/>
        </w:rPr>
        <w:t xml:space="preserve">A comparison of </w:t>
      </w:r>
      <w:proofErr w:type="spellStart"/>
      <w:r>
        <w:rPr>
          <w:sz w:val="24"/>
        </w:rPr>
        <w:t>AgNPs</w:t>
      </w:r>
      <w:proofErr w:type="spellEnd"/>
      <w:r>
        <w:rPr>
          <w:sz w:val="24"/>
        </w:rPr>
        <w:t xml:space="preserve"> versus Green Synthesized </w:t>
      </w:r>
      <w:proofErr w:type="spellStart"/>
      <w:r>
        <w:rPr>
          <w:sz w:val="24"/>
        </w:rPr>
        <w:t>AgNps</w:t>
      </w:r>
      <w:proofErr w:type="spellEnd"/>
      <w:r>
        <w:rPr>
          <w:sz w:val="24"/>
        </w:rPr>
        <w:t xml:space="preserve"> to detect heavy metals in water</w:t>
      </w:r>
    </w:p>
    <w:p w14:paraId="37C93ADB" w14:textId="16EAEB73" w:rsidR="000421CA" w:rsidRDefault="000421CA" w:rsidP="000421CA">
      <w:pPr>
        <w:spacing w:after="0"/>
      </w:pPr>
      <w:r>
        <w:rPr>
          <w:sz w:val="24"/>
        </w:rPr>
        <w:t>Nyarko, Kwaku Nti</w:t>
      </w:r>
    </w:p>
    <w:p w14:paraId="3DE3C318" w14:textId="4D57669B" w:rsidR="000421CA" w:rsidRDefault="000421CA" w:rsidP="000421CA">
      <w:pPr>
        <w:spacing w:after="240"/>
      </w:pPr>
      <w:r>
        <w:rPr>
          <w:sz w:val="24"/>
        </w:rPr>
        <w:t>Mentor: Lunsford, Suzanne</w:t>
      </w:r>
    </w:p>
    <w:p w14:paraId="65C039E5" w14:textId="77777777" w:rsidR="000421CA" w:rsidRDefault="000421CA" w:rsidP="000421CA">
      <w:pPr>
        <w:spacing w:after="480"/>
      </w:pPr>
      <w:r>
        <w:t xml:space="preserve">Contamination of water sources by heavy metals such as lead (Pb²⁺) and cadmium (Cd²⁺) poses significant risks to human health and the environment. Therefore, there is a growing need for sensitive, rapid, and cost-effective analytical methods for their detection. Electrochemical sensors based on nanoparticle modified electrodes have emerged as promising alternatives, particularly when combined with low-cost </w:t>
      </w:r>
      <w:proofErr w:type="spellStart"/>
      <w:r>
        <w:t>potentiostat</w:t>
      </w:r>
      <w:proofErr w:type="spellEnd"/>
      <w:r>
        <w:t xml:space="preserve"> systems for detecting heavy metal ions in aqueous solutions. This study compares the performance of two types of silver nanoparticles (</w:t>
      </w:r>
      <w:proofErr w:type="spellStart"/>
      <w:r>
        <w:t>AgNPs</w:t>
      </w:r>
      <w:proofErr w:type="spellEnd"/>
      <w:r>
        <w:t>) one synthesized using a conventional chemical method and the other via a green synthesis approach as electrode surface modifiers for the simultaneous detection of Pb²⁺ and Cd²⁺ in water using square wave anodic stripping voltammetry.</w:t>
      </w:r>
    </w:p>
    <w:p w14:paraId="1A79FFA7" w14:textId="77777777" w:rsidR="000421CA" w:rsidRDefault="000421CA" w:rsidP="000421CA">
      <w:r>
        <w:br w:type="page"/>
      </w:r>
    </w:p>
    <w:p w14:paraId="55516E00" w14:textId="0AFA6285" w:rsidR="000421CA" w:rsidRDefault="00004C7D" w:rsidP="000421CA">
      <w:pPr>
        <w:spacing w:after="0"/>
      </w:pPr>
      <w:r>
        <w:rPr>
          <w:sz w:val="24"/>
        </w:rPr>
        <w:lastRenderedPageBreak/>
        <w:t>College of Science and Mathematics</w:t>
      </w:r>
    </w:p>
    <w:p w14:paraId="2FF5E904" w14:textId="6CE5368D" w:rsidR="000421CA" w:rsidRDefault="000421CA" w:rsidP="000421CA">
      <w:pPr>
        <w:spacing w:after="240"/>
      </w:pPr>
    </w:p>
    <w:p w14:paraId="791A72F1" w14:textId="77777777" w:rsidR="000421CA" w:rsidRDefault="000421CA" w:rsidP="000421CA">
      <w:pPr>
        <w:spacing w:after="0"/>
      </w:pPr>
      <w:r>
        <w:rPr>
          <w:sz w:val="24"/>
        </w:rPr>
        <w:t xml:space="preserve">Optimization of Growth Media for Proliferating Human Leukemic </w:t>
      </w:r>
      <w:proofErr w:type="spellStart"/>
      <w:r>
        <w:rPr>
          <w:sz w:val="24"/>
        </w:rPr>
        <w:t>Jurkat</w:t>
      </w:r>
      <w:proofErr w:type="spellEnd"/>
      <w:r>
        <w:rPr>
          <w:sz w:val="24"/>
        </w:rPr>
        <w:t xml:space="preserve"> T Lymphocytes</w:t>
      </w:r>
    </w:p>
    <w:p w14:paraId="06B886EF" w14:textId="277EE1E8" w:rsidR="000421CA" w:rsidRDefault="000421CA" w:rsidP="000421CA">
      <w:pPr>
        <w:spacing w:after="0"/>
      </w:pPr>
      <w:proofErr w:type="spellStart"/>
      <w:r>
        <w:rPr>
          <w:sz w:val="24"/>
        </w:rPr>
        <w:t>Omkaresha</w:t>
      </w:r>
      <w:proofErr w:type="spellEnd"/>
      <w:r>
        <w:rPr>
          <w:sz w:val="24"/>
        </w:rPr>
        <w:t>, Yashoda</w:t>
      </w:r>
    </w:p>
    <w:p w14:paraId="701D2A35" w14:textId="49AD5679" w:rsidR="000421CA" w:rsidRDefault="000421CA" w:rsidP="000421CA">
      <w:pPr>
        <w:spacing w:after="240"/>
      </w:pPr>
      <w:r>
        <w:rPr>
          <w:sz w:val="24"/>
        </w:rPr>
        <w:t>Mentor: Kozak, Juliusz Ashot</w:t>
      </w:r>
    </w:p>
    <w:p w14:paraId="29E9139D" w14:textId="77777777" w:rsidR="000421CA" w:rsidRDefault="000421CA" w:rsidP="000421CA">
      <w:pPr>
        <w:spacing w:after="480"/>
      </w:pPr>
      <w:proofErr w:type="spellStart"/>
      <w:r>
        <w:t>Jurkat</w:t>
      </w:r>
      <w:proofErr w:type="spellEnd"/>
      <w:r>
        <w:t xml:space="preserve"> is a cell line generated from peripheral blood T lymphocytes of a patient with acute lymphoblastic leukemia. Over several decades, this cell line has been widely used for studies of human T-cell receptor signaling, NFAT transcription factors, IL2 secretion, cancer and ion fluxes. In the majority of published work, </w:t>
      </w:r>
      <w:proofErr w:type="spellStart"/>
      <w:r>
        <w:t>Jurkat</w:t>
      </w:r>
      <w:proofErr w:type="spellEnd"/>
      <w:r>
        <w:t xml:space="preserve"> T cells are maintained and propagated in RPMI medium supplemented with 10% fetal bovine serum (FBS). It is well known, however, that FBS is not a defined supplement and its efficiency and cytotoxicity depends on a particular batch used. In view of this, we aimed to test more defined supplements and determine their effectiveness in cell culture. We compared the effect of different culture formulations on </w:t>
      </w:r>
      <w:proofErr w:type="spellStart"/>
      <w:r>
        <w:t>Jurkat</w:t>
      </w:r>
      <w:proofErr w:type="spellEnd"/>
      <w:r>
        <w:t xml:space="preserve"> T-cell growth and proliferation. Cells were grown in RPMI with 10% FBS, Advanced RPMI with 5% FBS, 10% calf serum or 2% SimPL SHOT serum-free supplement purified from porcine platelets. Cell counts were taken at multiple time points up to 72 hours. The highest proliferation rate was observed in Advanced RPMI supplemented with 5% FBS and RPMI with 10% FBS, whereas growth in 2% and 5% </w:t>
      </w:r>
      <w:proofErr w:type="spellStart"/>
      <w:r>
        <w:t>SimPL</w:t>
      </w:r>
      <w:proofErr w:type="spellEnd"/>
      <w:r>
        <w:t xml:space="preserve"> was </w:t>
      </w:r>
      <w:proofErr w:type="spellStart"/>
      <w:r>
        <w:t>somemwat</w:t>
      </w:r>
      <w:proofErr w:type="spellEnd"/>
      <w:r>
        <w:t xml:space="preserve"> slower. We found that 10% calf serum containing media did not support cell growth and resulted in cell death. These findings indicate that although FBS remains the most effective supplement, SimPL porcine platelet lysate at 2% can support </w:t>
      </w:r>
      <w:proofErr w:type="spellStart"/>
      <w:r>
        <w:t>Jurkat</w:t>
      </w:r>
      <w:proofErr w:type="spellEnd"/>
      <w:r>
        <w:t xml:space="preserve"> T- cell growth and proliferation. In a future study we will compare higher concentrations of SimPL supplement and document longer periods of cell growth.</w:t>
      </w:r>
    </w:p>
    <w:p w14:paraId="6DA23823" w14:textId="77777777" w:rsidR="000421CA" w:rsidRDefault="000421CA" w:rsidP="000421CA">
      <w:r>
        <w:br w:type="page"/>
      </w:r>
    </w:p>
    <w:p w14:paraId="03508936" w14:textId="39114394" w:rsidR="000421CA" w:rsidRDefault="00441698" w:rsidP="000421CA">
      <w:pPr>
        <w:spacing w:after="0"/>
      </w:pPr>
      <w:r>
        <w:rPr>
          <w:sz w:val="24"/>
        </w:rPr>
        <w:lastRenderedPageBreak/>
        <w:t>Boonshoft School of Medicine</w:t>
      </w:r>
    </w:p>
    <w:p w14:paraId="43AC7EB6" w14:textId="5924EDA9" w:rsidR="000421CA" w:rsidRDefault="000421CA" w:rsidP="000421CA">
      <w:pPr>
        <w:spacing w:after="240"/>
      </w:pPr>
    </w:p>
    <w:p w14:paraId="68CB8816" w14:textId="77777777" w:rsidR="000421CA" w:rsidRDefault="000421CA" w:rsidP="000421CA">
      <w:pPr>
        <w:spacing w:after="0"/>
      </w:pPr>
      <w:r>
        <w:rPr>
          <w:sz w:val="24"/>
        </w:rPr>
        <w:t>Therapeutic Potential of the Tel2–Tti1–Tti2 (TTT) Complex in treatment of Cancer</w:t>
      </w:r>
    </w:p>
    <w:p w14:paraId="63309552" w14:textId="670512AD" w:rsidR="000421CA" w:rsidRDefault="000421CA" w:rsidP="000421CA">
      <w:pPr>
        <w:spacing w:after="0"/>
      </w:pPr>
      <w:r>
        <w:rPr>
          <w:sz w:val="24"/>
        </w:rPr>
        <w:t xml:space="preserve">Panthi, </w:t>
      </w:r>
      <w:proofErr w:type="spellStart"/>
      <w:r>
        <w:rPr>
          <w:sz w:val="24"/>
        </w:rPr>
        <w:t>Abishkar</w:t>
      </w:r>
      <w:proofErr w:type="spellEnd"/>
    </w:p>
    <w:p w14:paraId="59DD691E" w14:textId="48AA5CE6" w:rsidR="000421CA" w:rsidRDefault="000421CA" w:rsidP="000421CA">
      <w:pPr>
        <w:spacing w:after="240"/>
      </w:pPr>
      <w:r>
        <w:rPr>
          <w:sz w:val="24"/>
        </w:rPr>
        <w:t>Mentor: Xu, Yong-</w:t>
      </w:r>
      <w:proofErr w:type="spellStart"/>
      <w:r>
        <w:rPr>
          <w:sz w:val="24"/>
        </w:rPr>
        <w:t>jie</w:t>
      </w:r>
      <w:proofErr w:type="spellEnd"/>
    </w:p>
    <w:p w14:paraId="1E16872E" w14:textId="77777777" w:rsidR="000421CA" w:rsidRDefault="000421CA" w:rsidP="000421CA">
      <w:pPr>
        <w:spacing w:after="480"/>
      </w:pPr>
      <w:r>
        <w:t>Phosphatidylinositol 3-kinase–related kinases (PIKKs) are central regulators of DNA damage responses, cell cycle control, metabolism, and RNA surveillance, and their dysregulation is a hallmark of cancer. The six mammalian PIKKs-ATM, ATR, DNA-</w:t>
      </w:r>
      <w:proofErr w:type="spellStart"/>
      <w:r>
        <w:t>PKcs</w:t>
      </w:r>
      <w:proofErr w:type="spellEnd"/>
      <w:r>
        <w:t xml:space="preserve">, mTOR, SMG1, and TRRAP are exceptionally large kinases whose cellular stability depends on the Tel2–Tti1–Tti2 (TTT) complex.  Although Tel2 lacks classical functional domains, genetic studies revealed that Tel2 and the TTT complex maintain the protein stability of all PIKKs, rather than controlling their transcription. Loss of any TTT subunit causes coordinated depletion of PIKKs, leading to defective DNA repair, impaired checkpoint </w:t>
      </w:r>
      <w:proofErr w:type="spellStart"/>
      <w:r>
        <w:t>signalling</w:t>
      </w:r>
      <w:proofErr w:type="spellEnd"/>
      <w:r>
        <w:t xml:space="preserve">, metabolic dysregulation, and loss of cell viability.  Structurally, the TTT complex is composed of HEAT-like α-helical repeat proteins that assemble into a curved scaffold. Tti1 and Tti2 form a stable core, while Tel2 binds to and stabilizes this heterodimer. The crescent-shaped TTT complex interacts with the N-terminal HEAT-repeat regions of PIKKs, while leaving their C-terminal kinase domains accessible. Acting as a molecular bridge, TTT links PIKKs to the R2TP–Hsp90 chaperone machinery, enabling proper folding and maturation.  Because cancer cells are highly dependent on PIKK </w:t>
      </w:r>
      <w:proofErr w:type="spellStart"/>
      <w:r>
        <w:t>signalling</w:t>
      </w:r>
      <w:proofErr w:type="spellEnd"/>
      <w:r>
        <w:t xml:space="preserve"> and </w:t>
      </w:r>
      <w:proofErr w:type="spellStart"/>
      <w:r>
        <w:t>proteostasis</w:t>
      </w:r>
      <w:proofErr w:type="spellEnd"/>
      <w:r>
        <w:t>, the TTT complex represents a non-oncogene addiction and a promising systems-level therapeutic target that may overcome resistance to single-kinase inhibitors.</w:t>
      </w:r>
    </w:p>
    <w:p w14:paraId="614CBD09" w14:textId="77777777" w:rsidR="000421CA" w:rsidRDefault="000421CA" w:rsidP="000421CA">
      <w:r>
        <w:br w:type="page"/>
      </w:r>
    </w:p>
    <w:p w14:paraId="57FCED7E" w14:textId="33C9B389" w:rsidR="000421CA" w:rsidRDefault="00441698" w:rsidP="000421CA">
      <w:pPr>
        <w:spacing w:after="0"/>
      </w:pPr>
      <w:r>
        <w:rPr>
          <w:sz w:val="24"/>
        </w:rPr>
        <w:lastRenderedPageBreak/>
        <w:t>Boonshoft School of Medicine</w:t>
      </w:r>
    </w:p>
    <w:p w14:paraId="1D2FD1D8" w14:textId="34DF05B2" w:rsidR="000421CA" w:rsidRDefault="000421CA" w:rsidP="000421CA">
      <w:pPr>
        <w:spacing w:after="240"/>
      </w:pPr>
    </w:p>
    <w:p w14:paraId="52501730" w14:textId="77777777" w:rsidR="000421CA" w:rsidRDefault="000421CA" w:rsidP="000421CA">
      <w:pPr>
        <w:spacing w:after="0"/>
      </w:pPr>
      <w:r>
        <w:rPr>
          <w:sz w:val="24"/>
        </w:rPr>
        <w:t>Exploring the efficacy of pantoprazole-based approaches for cancer treatment</w:t>
      </w:r>
    </w:p>
    <w:p w14:paraId="6596732A" w14:textId="41492C5F" w:rsidR="000421CA" w:rsidRDefault="000421CA" w:rsidP="000421CA">
      <w:pPr>
        <w:spacing w:after="0"/>
      </w:pPr>
      <w:r>
        <w:rPr>
          <w:sz w:val="24"/>
        </w:rPr>
        <w:t>Patel, Ashni P</w:t>
      </w:r>
    </w:p>
    <w:p w14:paraId="57CCED38" w14:textId="2F381280" w:rsidR="000421CA" w:rsidRDefault="000421CA" w:rsidP="000421CA">
      <w:pPr>
        <w:spacing w:after="240"/>
      </w:pPr>
      <w:r>
        <w:rPr>
          <w:sz w:val="24"/>
        </w:rPr>
        <w:t>Mentor: Sahu, Ravi</w:t>
      </w:r>
    </w:p>
    <w:p w14:paraId="6BB56AD0" w14:textId="77777777" w:rsidR="000421CA" w:rsidRDefault="000421CA" w:rsidP="000421CA">
      <w:pPr>
        <w:spacing w:after="480"/>
      </w:pPr>
      <w:r>
        <w:t>Cancer remains as a leading cause of mortality within the United States and is thought to continue to rise as time goes on.  While there are many currently available chemotherapies for treatment, a main challenge in cancer treatment remains resistance in many cancer subtypes and severe side effects. This has led researchers to turn towards drug repurposing to turn to clinically approved drugs to not only provide a more cost-effective option for patients but also speed up the drug development process. While many commercially available medications have been explored, this study focuses on repurposing pantoprazole. Pantoprazole is currently used as a proton pump inhibitor that irreversibly binds to a pump to stop gastric acid secretion within the stomach. It is used often in gastroesophageal reflux disease, erosive esophagitis and for the prevention of stomach ulcers. Many have also found it to have a chemotherapeutic effect when used alone and in conjugation with current chemotherapies in a multitude of cancers. In a review of multiple trials, this study found that pantoprazole has promising effects specifically in breast cancer and glioblastoma patients. While many research studies were preliminary, they showed hopeful results that pantoprazole works on certain gene mutations such as fatty acid synthase in breast cancer and glioma-stem cells. One phase I clinical trial was done on solid tumors in castration-resistant prostate cancer along with doxorubicin therapy to determine the recommended dosage for phase II. While further clinical trials need to be executed, the goal of the current project is to explore the efficacy of pantoprazole’s and pantoprazole-based approaches in cell culture systems as well as in preclinical and clinical settings against diverse cancer types, which support that drug repurposing is an avenue researchers should consider to make more effective and cost-conscious therapies.</w:t>
      </w:r>
    </w:p>
    <w:p w14:paraId="29CF95DD" w14:textId="77777777" w:rsidR="000421CA" w:rsidRDefault="000421CA" w:rsidP="000421CA">
      <w:r>
        <w:br w:type="page"/>
      </w:r>
    </w:p>
    <w:p w14:paraId="1BB51322" w14:textId="025BA3EF" w:rsidR="000421CA" w:rsidRDefault="00820D98" w:rsidP="000421CA">
      <w:pPr>
        <w:spacing w:after="0"/>
      </w:pPr>
      <w:r>
        <w:rPr>
          <w:sz w:val="24"/>
        </w:rPr>
        <w:lastRenderedPageBreak/>
        <w:t>College of Engineering and Computer Science</w:t>
      </w:r>
    </w:p>
    <w:p w14:paraId="0CABBCA5" w14:textId="365F6953" w:rsidR="000421CA" w:rsidRDefault="000421CA" w:rsidP="000421CA">
      <w:pPr>
        <w:spacing w:after="240"/>
      </w:pPr>
    </w:p>
    <w:p w14:paraId="09DEA902" w14:textId="77777777" w:rsidR="000421CA" w:rsidRDefault="000421CA" w:rsidP="000421CA">
      <w:pPr>
        <w:spacing w:after="0"/>
      </w:pPr>
      <w:r>
        <w:rPr>
          <w:sz w:val="24"/>
        </w:rPr>
        <w:t>Distribution-Based Feature Ranking for Transcriptomic Factor Identification</w:t>
      </w:r>
    </w:p>
    <w:p w14:paraId="3E06644E" w14:textId="7688D026" w:rsidR="000421CA" w:rsidRDefault="000421CA" w:rsidP="000421CA">
      <w:pPr>
        <w:spacing w:after="0"/>
      </w:pPr>
      <w:r>
        <w:rPr>
          <w:sz w:val="24"/>
        </w:rPr>
        <w:t>Popp, Lauren</w:t>
      </w:r>
    </w:p>
    <w:p w14:paraId="1642CF1E" w14:textId="79A62B86" w:rsidR="000421CA" w:rsidRDefault="000421CA" w:rsidP="000421CA">
      <w:pPr>
        <w:spacing w:after="240"/>
      </w:pPr>
      <w:r>
        <w:rPr>
          <w:sz w:val="24"/>
        </w:rPr>
        <w:t xml:space="preserve">Mentor: Ghosh, </w:t>
      </w:r>
      <w:proofErr w:type="spellStart"/>
      <w:r>
        <w:rPr>
          <w:sz w:val="24"/>
        </w:rPr>
        <w:t>Tomojit</w:t>
      </w:r>
      <w:proofErr w:type="spellEnd"/>
    </w:p>
    <w:p w14:paraId="1C107004" w14:textId="77777777" w:rsidR="000421CA" w:rsidRDefault="000421CA" w:rsidP="000421CA">
      <w:pPr>
        <w:spacing w:after="480"/>
      </w:pPr>
      <w:r>
        <w:t>Modern transcriptomic assays measure expression levels for thousands of genes, but only a small subset is typically informative for distinguishing biological conditions (e.g., two disease states or cell types). This project proposes a filter-based feature selection approach that ranks transcriptomic factors using class-conditional distribution differences rather than model-specific feature weights. For each gene, we convert its expression values into an empirical distribution by partitioning the observed range into a fixed number of bins and counting how many samples from each class fall into each bin. This produces one binned distribution vector per class for the same gene. We then compute a discriminative score for that gene using multiple measures of distributional separation, including the ℓ1, ℓ2, and ℓ∞ norms of the difference between the two class vectors, as well as symmetric KL divergence. These measures produce different feature rankings, allowing us to compare which scoring strategy identifies the most predictive genes. To evaluate the quality of the selected features, we take the top-ranked genes from each method and measure classification performance using a k-nearest neighbors (k-NN) model under a train/test split. Overall, the results show that using a small subset of top-ranked transcriptomic factors improves class separability and classification accuracy compared to using the full feature set, supporting distribution-based scoring as a simple and effective baseline for transcriptomic factor identification.</w:t>
      </w:r>
    </w:p>
    <w:p w14:paraId="3DA6132F" w14:textId="77777777" w:rsidR="000421CA" w:rsidRDefault="000421CA" w:rsidP="000421CA">
      <w:r>
        <w:br w:type="page"/>
      </w:r>
    </w:p>
    <w:p w14:paraId="273AC1BA" w14:textId="06076A33" w:rsidR="000421CA" w:rsidRDefault="00441698" w:rsidP="000421CA">
      <w:pPr>
        <w:spacing w:after="0"/>
      </w:pPr>
      <w:r>
        <w:rPr>
          <w:sz w:val="24"/>
        </w:rPr>
        <w:lastRenderedPageBreak/>
        <w:t>Boonshoft School of Medicine</w:t>
      </w:r>
    </w:p>
    <w:p w14:paraId="1426B345" w14:textId="4474A451" w:rsidR="000421CA" w:rsidRDefault="000421CA" w:rsidP="000421CA">
      <w:pPr>
        <w:spacing w:after="240"/>
      </w:pPr>
    </w:p>
    <w:p w14:paraId="52F56B98" w14:textId="77777777" w:rsidR="000421CA" w:rsidRDefault="000421CA" w:rsidP="000421CA">
      <w:pPr>
        <w:spacing w:after="0"/>
      </w:pPr>
      <w:r>
        <w:rPr>
          <w:sz w:val="24"/>
        </w:rPr>
        <w:t>Unmasking the Role of Polycyclic Aromatic Hydrocarbon compound in Lung Cancer</w:t>
      </w:r>
    </w:p>
    <w:p w14:paraId="2C2D848E" w14:textId="4B21A875" w:rsidR="000421CA" w:rsidRDefault="000421CA" w:rsidP="000421CA">
      <w:pPr>
        <w:spacing w:after="0"/>
      </w:pPr>
      <w:r>
        <w:rPr>
          <w:sz w:val="24"/>
        </w:rPr>
        <w:t>Rawal, Riya Tushar</w:t>
      </w:r>
    </w:p>
    <w:p w14:paraId="6943095C" w14:textId="65485C8E" w:rsidR="000421CA" w:rsidRDefault="000421CA" w:rsidP="000421CA">
      <w:pPr>
        <w:spacing w:after="240"/>
      </w:pPr>
      <w:r>
        <w:rPr>
          <w:sz w:val="24"/>
        </w:rPr>
        <w:t>Mentor: Sahu, Ravi P.</w:t>
      </w:r>
    </w:p>
    <w:p w14:paraId="4BCAFD17" w14:textId="77777777" w:rsidR="000421CA" w:rsidRDefault="000421CA" w:rsidP="000421CA">
      <w:pPr>
        <w:spacing w:after="480"/>
      </w:pPr>
      <w:r>
        <w:t>Non–small cell lung cancer (NSCLC) is a leading cause of cancer-related mortality, driven by invasive behavior and frequent resistance to systemic therapies. Epidermal growth factor receptor tyrosine kinase inhibitors (EGFR-TKIs) benefit patients with EGFR-mutant NSCLC, but their efficacy is often limited by tumor-intrinsic and environmental resistance mechanisms. Benzo[a]pyrene (</w:t>
      </w:r>
      <w:proofErr w:type="spellStart"/>
      <w:r>
        <w:t>BaP</w:t>
      </w:r>
      <w:proofErr w:type="spellEnd"/>
      <w:r>
        <w:t xml:space="preserve">), a ubiquitous polycyclic aromatic hydrocarbon from tobacco smoke, combustion, and dietary sources, is a known carcinogen; however, its role in modulating therapeutic responses is poorly understood. Studies, including ours, implicate platelet-activating factor-receptor (PAFR) pathway in mediating environmental pollutant– and therapy-induced effects on tumor growth and </w:t>
      </w:r>
      <w:proofErr w:type="spellStart"/>
      <w:r>
        <w:t>microvesicle</w:t>
      </w:r>
      <w:proofErr w:type="spellEnd"/>
      <w:r>
        <w:t xml:space="preserve"> particle (MVP) release. We hypothesized that PAFR activation mediates </w:t>
      </w:r>
      <w:proofErr w:type="spellStart"/>
      <w:r>
        <w:t>BaP</w:t>
      </w:r>
      <w:proofErr w:type="spellEnd"/>
      <w:r>
        <w:t xml:space="preserve">-induced NSCLC progression and influences EGFR-TKI responses. We assessed the effects of </w:t>
      </w:r>
      <w:proofErr w:type="spellStart"/>
      <w:r>
        <w:t>BaP</w:t>
      </w:r>
      <w:proofErr w:type="spellEnd"/>
      <w:r>
        <w:t xml:space="preserve">, PAFR agonist CPAF, EGFR-TKIs, and their combinations on cell viability, proliferation, migration, anchorage-independent growth, and MVP secretion. </w:t>
      </w:r>
      <w:proofErr w:type="spellStart"/>
      <w:r>
        <w:t>BaP</w:t>
      </w:r>
      <w:proofErr w:type="spellEnd"/>
      <w:r>
        <w:t xml:space="preserve"> did not alter cell survival but significantly increased migration, growth, colony formation, and MVP release, similar to CPAF, and these effects were blocked by a PAFR antagonist or acid sphingomyelinase inhibitor. Importantly, </w:t>
      </w:r>
      <w:proofErr w:type="spellStart"/>
      <w:r>
        <w:t>BaP</w:t>
      </w:r>
      <w:proofErr w:type="spellEnd"/>
      <w:r>
        <w:t xml:space="preserve"> did not reduce EGFR-TKI efficacy at tested concentrations. These results show that environmental carcinogen modulates NSCLC behavior through PAFR signaling without compromising EGFR-TKI responsiveness, highlighting PAFR as a potential therapeutic target.</w:t>
      </w:r>
    </w:p>
    <w:p w14:paraId="455C400F" w14:textId="77777777" w:rsidR="000421CA" w:rsidRDefault="000421CA" w:rsidP="000421CA">
      <w:r>
        <w:br w:type="page"/>
      </w:r>
    </w:p>
    <w:p w14:paraId="7F125E15" w14:textId="6788CDA3" w:rsidR="000421CA" w:rsidRDefault="00004C7D" w:rsidP="000421CA">
      <w:pPr>
        <w:spacing w:after="0"/>
      </w:pPr>
      <w:r>
        <w:rPr>
          <w:sz w:val="24"/>
        </w:rPr>
        <w:lastRenderedPageBreak/>
        <w:t>College of Science and Mathematics</w:t>
      </w:r>
    </w:p>
    <w:p w14:paraId="7EB03546" w14:textId="4BFBE909" w:rsidR="000421CA" w:rsidRDefault="000421CA" w:rsidP="000421CA">
      <w:pPr>
        <w:spacing w:after="240"/>
      </w:pPr>
    </w:p>
    <w:p w14:paraId="0A5CD71A" w14:textId="77777777" w:rsidR="000421CA" w:rsidRDefault="000421CA" w:rsidP="000421CA">
      <w:pPr>
        <w:spacing w:after="0"/>
      </w:pPr>
      <w:r>
        <w:rPr>
          <w:sz w:val="24"/>
        </w:rPr>
        <w:t>Studying the Protein Interactions of α-synuclein using a modified Yeast Two-Hybrid Approach</w:t>
      </w:r>
    </w:p>
    <w:p w14:paraId="26B4B19A" w14:textId="4E5AEC87" w:rsidR="000421CA" w:rsidRDefault="000421CA" w:rsidP="000421CA">
      <w:pPr>
        <w:spacing w:after="0"/>
      </w:pPr>
      <w:r>
        <w:rPr>
          <w:sz w:val="24"/>
        </w:rPr>
        <w:t>Razi, Yasmeen S</w:t>
      </w:r>
    </w:p>
    <w:p w14:paraId="7D0E1A69" w14:textId="1130D6E1" w:rsidR="000421CA" w:rsidRDefault="000421CA" w:rsidP="000421CA">
      <w:pPr>
        <w:spacing w:after="240"/>
      </w:pPr>
      <w:r>
        <w:rPr>
          <w:sz w:val="24"/>
        </w:rPr>
        <w:t>Mentor: Zhong, Quan</w:t>
      </w:r>
    </w:p>
    <w:p w14:paraId="21183A90" w14:textId="77777777" w:rsidR="000421CA" w:rsidRDefault="000421CA" w:rsidP="000421CA">
      <w:pPr>
        <w:spacing w:after="480"/>
      </w:pPr>
      <w:r>
        <w:t>α-Synuclein is a protein encoded by the SNCA gene, which is normally expressed at the presynaptic terminals of neurons. Mutations in this protein have been associated with two neurodegenerative disorders, Parkinson’s Disease (PD) and Lewy body dementia (LBD), both of which currently lack a cure. A defining pathological feature of PD and LBD is the formation of Lewy bodies, intracellular inclusions primarily composed of misfolded α-synuclein that cause neuronal dysfunction and cell death. Under normal physiological conditions, α-synuclein regulates synaptic vesicle dynamics and the release of neurotransmitters, like dopamine. Although mutations in α-synuclein are known to disrupt the function of dopaminergic neurons, the mechanisms driving the transition of α-synuclein from a functional protein to a pathological agent remain unclear. A major knowledge gap is its protein-protein interaction partners, which may regulate both its normal function and its pathological conversion.  Yeast Two-Hybrid (Y2H) can be used to determine the interaction between two proteins. This technique relies on the reconstitution of a functional Gal4 transcription factor, which consists of an activation domain (AD) and a DNA-binding (DB) domain. Most high-throughput Y2H screens have utilized N-terminal Gal4 AD or DB fusion proteins. However, because the N-terminus of α-synuclein contains an α-helical region required for its proper structural conformation, N-terminal tagging may disrupt its native folding, stability, or interaction capabilities. To overcome this limitation, α-synuclein will be fused to the Gal4 DB and AD domain at its C-terminus. Once completed, the modified Y2H constructs will be used to test and compare the interactions of wild-type and mutant α-synuclein. Characterizing the differences in their interaction networks may help clarify how gain or loss of specific binding partners promotes Lewy body formation and drives PD and LBD development.</w:t>
      </w:r>
    </w:p>
    <w:p w14:paraId="398B68ED" w14:textId="77777777" w:rsidR="000421CA" w:rsidRDefault="000421CA" w:rsidP="000421CA">
      <w:r>
        <w:br w:type="page"/>
      </w:r>
    </w:p>
    <w:p w14:paraId="344511EF" w14:textId="3F528ED3" w:rsidR="000421CA" w:rsidRDefault="00004C7D" w:rsidP="000421CA">
      <w:pPr>
        <w:spacing w:after="0"/>
      </w:pPr>
      <w:r>
        <w:rPr>
          <w:sz w:val="24"/>
        </w:rPr>
        <w:lastRenderedPageBreak/>
        <w:t>College of Science and Mathematics</w:t>
      </w:r>
    </w:p>
    <w:p w14:paraId="58CDBC63" w14:textId="1E431741" w:rsidR="000421CA" w:rsidRDefault="000421CA" w:rsidP="000421CA">
      <w:pPr>
        <w:spacing w:after="240"/>
      </w:pPr>
    </w:p>
    <w:p w14:paraId="7562D325" w14:textId="77777777" w:rsidR="000421CA" w:rsidRDefault="000421CA" w:rsidP="000421CA">
      <w:pPr>
        <w:spacing w:after="0"/>
      </w:pPr>
      <w:r>
        <w:rPr>
          <w:sz w:val="24"/>
        </w:rPr>
        <w:t>Lipin-1 Gene Therapy Enhances Muscle Function and Protects Against Eccentric Contraction Injury in Duchenne muscular dystrophy Mouse Models</w:t>
      </w:r>
    </w:p>
    <w:p w14:paraId="6B4B381C" w14:textId="743E2D30" w:rsidR="000421CA" w:rsidRDefault="000421CA" w:rsidP="000421CA">
      <w:pPr>
        <w:spacing w:after="0"/>
      </w:pPr>
      <w:r>
        <w:rPr>
          <w:sz w:val="24"/>
        </w:rPr>
        <w:t>Rezaei, Bahar -</w:t>
      </w:r>
    </w:p>
    <w:p w14:paraId="3FB48C2C" w14:textId="10588DCA" w:rsidR="000421CA" w:rsidRDefault="000421CA" w:rsidP="000421CA">
      <w:pPr>
        <w:spacing w:after="240"/>
      </w:pPr>
      <w:r>
        <w:rPr>
          <w:sz w:val="24"/>
        </w:rPr>
        <w:t>Mentor: Voss, Andrew</w:t>
      </w:r>
    </w:p>
    <w:p w14:paraId="0C725385" w14:textId="77777777" w:rsidR="000421CA" w:rsidRDefault="000421CA" w:rsidP="000421CA">
      <w:pPr>
        <w:spacing w:after="480"/>
      </w:pPr>
      <w:r>
        <w:t xml:space="preserve">Duchenne muscular dystrophy (DMD) is a severe X-linked neuromuscular disorder caused by mutations in the dystrophin gene, resulting in progressive muscle degeneration, weakness, and premature mortality. Current treatments, including corticosteroids and gene-based approaches, provide limited functional improvement and do not fully restore muscle integrity. Lipin-1, a </w:t>
      </w:r>
      <w:proofErr w:type="spellStart"/>
      <w:r>
        <w:t>phosphatidate</w:t>
      </w:r>
      <w:proofErr w:type="spellEnd"/>
      <w:r>
        <w:t xml:space="preserve"> phosphatase essential for membrane lipid homeostasis and muscle stability, is reduced in both DMD patients and mdx mice, and its deficiency exacerbates muscle pathology in the absence of </w:t>
      </w:r>
      <w:proofErr w:type="spellStart"/>
      <w:r>
        <w:t>dystrophin.This</w:t>
      </w:r>
      <w:proofErr w:type="spellEnd"/>
      <w:r>
        <w:t xml:space="preserve"> study investigated whether systemic delivery of AAV-Lipin1 improves muscle function and protects against eccentric contraction-induced injury in dystrophic mice. In situ force measurements of the gastrocnemius muscle in mdx mice demonstrated improved force preservation following repeated lengthening contractions with AAV-Lipin1 treatment. However, because the gastrocnemius contains a mixture of fast- and slow-twitch fibers, we further evaluated the fiber-type–specific effects of gene therapy using ex vivo preparations of the extensor digitorum longus (EDL; fast-twitch) and soleus (slow-twitch) muscles in D2mdx mice treated with glucocorticoids, AAV-Lipin1, or combination therapy, alongside wild-type controls. Ex vivo analysis revealed significant improvement in force maintenance in the EDL muscle following AAV-Lipin1 treatment, indicating enhanced resistance to eccentric contraction-induced damage in fast-twitch fibers. These findings suggest that Lipin-1 restoration improves muscle resilience in dystrophic mice and may represent a complementary therapeutic strategy for DMD that functions independently of dystrophin replacement.</w:t>
      </w:r>
    </w:p>
    <w:p w14:paraId="18FADF80" w14:textId="77777777" w:rsidR="000421CA" w:rsidRDefault="000421CA" w:rsidP="000421CA">
      <w:r>
        <w:br w:type="page"/>
      </w:r>
    </w:p>
    <w:p w14:paraId="24EAEBD9" w14:textId="2F8297AC" w:rsidR="000421CA" w:rsidRDefault="00004C7D" w:rsidP="000421CA">
      <w:pPr>
        <w:spacing w:after="0"/>
      </w:pPr>
      <w:r>
        <w:rPr>
          <w:sz w:val="24"/>
        </w:rPr>
        <w:lastRenderedPageBreak/>
        <w:t>College of Science and Mathematics</w:t>
      </w:r>
    </w:p>
    <w:p w14:paraId="6366B008" w14:textId="1DEA9E6A" w:rsidR="000421CA" w:rsidRDefault="000421CA" w:rsidP="000421CA">
      <w:pPr>
        <w:spacing w:after="240"/>
      </w:pPr>
    </w:p>
    <w:p w14:paraId="34CC2CD2" w14:textId="77777777" w:rsidR="000421CA" w:rsidRDefault="000421CA" w:rsidP="000421CA">
      <w:pPr>
        <w:spacing w:after="0"/>
      </w:pPr>
      <w:r>
        <w:rPr>
          <w:sz w:val="24"/>
        </w:rPr>
        <w:t>Enhanced Detection of Arsenic with PANI and Green Synthesized Nanoparticles</w:t>
      </w:r>
    </w:p>
    <w:p w14:paraId="17E04B22" w14:textId="64DE0B22" w:rsidR="000421CA" w:rsidRDefault="000421CA" w:rsidP="000421CA">
      <w:pPr>
        <w:spacing w:after="0"/>
      </w:pPr>
      <w:r>
        <w:rPr>
          <w:sz w:val="24"/>
        </w:rPr>
        <w:t>Rush, Riley H</w:t>
      </w:r>
    </w:p>
    <w:p w14:paraId="12AF1ED6" w14:textId="17A55BA6" w:rsidR="000421CA" w:rsidRDefault="000421CA" w:rsidP="000421CA">
      <w:pPr>
        <w:spacing w:after="240"/>
      </w:pPr>
      <w:r>
        <w:rPr>
          <w:sz w:val="24"/>
        </w:rPr>
        <w:t>Mentor: Lunsford, Suzanne</w:t>
      </w:r>
    </w:p>
    <w:p w14:paraId="633EB628" w14:textId="77777777" w:rsidR="000421CA" w:rsidRDefault="000421CA" w:rsidP="000421CA">
      <w:pPr>
        <w:spacing w:after="480"/>
      </w:pPr>
      <w:r>
        <w:t>Arsenic is extremely toxic and can have significant effects if in public water supply. Nanoparticles have been utilized to help detect heavy metals in water, but some methods using these nanoparticles have only had marginal improvements in detection. Polyaniline (PANI) grown on the electrode surface could help optimize detection of arsenic in conjunction with green-synthesized nanoparticles to increase the catalytic ability and enhance the detection of arsenic levels in a water sample. PANI was grown using electrochemical methods. Copper nanoparticles were synthesized by green technology. This method will be illustrated by Square Wave Anodic Stripping Voltammetry.</w:t>
      </w:r>
    </w:p>
    <w:p w14:paraId="77DF0222" w14:textId="77777777" w:rsidR="000421CA" w:rsidRDefault="000421CA" w:rsidP="000421CA">
      <w:r>
        <w:br w:type="page"/>
      </w:r>
    </w:p>
    <w:p w14:paraId="4161B7E1" w14:textId="4E43E304" w:rsidR="000421CA" w:rsidRDefault="00820D98" w:rsidP="000421CA">
      <w:pPr>
        <w:spacing w:after="0"/>
      </w:pPr>
      <w:r>
        <w:rPr>
          <w:sz w:val="24"/>
        </w:rPr>
        <w:lastRenderedPageBreak/>
        <w:t>College of Engineering and Computer Science</w:t>
      </w:r>
    </w:p>
    <w:p w14:paraId="5CD8115F" w14:textId="5E15F591" w:rsidR="000421CA" w:rsidRDefault="000421CA" w:rsidP="000421CA">
      <w:pPr>
        <w:spacing w:after="240"/>
      </w:pPr>
    </w:p>
    <w:p w14:paraId="14C62A15" w14:textId="77777777" w:rsidR="000421CA" w:rsidRDefault="000421CA" w:rsidP="000421CA">
      <w:pPr>
        <w:spacing w:after="0"/>
      </w:pPr>
      <w:r>
        <w:rPr>
          <w:sz w:val="24"/>
        </w:rPr>
        <w:t>A Knowledge Graph-</w:t>
      </w:r>
      <w:proofErr w:type="spellStart"/>
      <w:r>
        <w:rPr>
          <w:sz w:val="24"/>
        </w:rPr>
        <w:t>poWered</w:t>
      </w:r>
      <w:proofErr w:type="spellEnd"/>
      <w:r>
        <w:rPr>
          <w:sz w:val="24"/>
        </w:rPr>
        <w:t xml:space="preserve"> Research Assistant for Polymer Science (KGWRAPS)</w:t>
      </w:r>
    </w:p>
    <w:p w14:paraId="11492779" w14:textId="0CF42382" w:rsidR="000421CA" w:rsidRDefault="000421CA" w:rsidP="000421CA">
      <w:pPr>
        <w:spacing w:after="0"/>
      </w:pPr>
      <w:r>
        <w:rPr>
          <w:sz w:val="24"/>
        </w:rPr>
        <w:t>Saini, Anmol</w:t>
      </w:r>
    </w:p>
    <w:p w14:paraId="3E7BF724" w14:textId="0D02DE5D" w:rsidR="000421CA" w:rsidRDefault="000421CA" w:rsidP="000421CA">
      <w:pPr>
        <w:spacing w:after="240"/>
      </w:pPr>
      <w:r>
        <w:rPr>
          <w:sz w:val="24"/>
        </w:rPr>
        <w:t>Mentor: Shimizu, Cogan</w:t>
      </w:r>
    </w:p>
    <w:p w14:paraId="34C50409" w14:textId="77777777" w:rsidR="000421CA" w:rsidRDefault="000421CA" w:rsidP="000421CA">
      <w:pPr>
        <w:spacing w:after="480"/>
      </w:pPr>
      <w:r>
        <w:t>The recent growth of technology, especially artificial intelligence (AI), has rapidly advanced various scientific domains. While materials science more broadly has experienced this development, its exposure to particular areas of the domain, such as polymer science, remains limited. These limitations manifest as reduced replicability of experimental results due to human error and biases, as well as decelerated discovery of new polymers due to the time-consuming and rote nature of manual experimentation. However, technological integration holds the potential to increase the accuracy and precision of experimental processes, as well as aid in their automation. Thus, we propose a Knowledge Graph-</w:t>
      </w:r>
      <w:proofErr w:type="spellStart"/>
      <w:r>
        <w:t>poWered</w:t>
      </w:r>
      <w:proofErr w:type="spellEnd"/>
      <w:r>
        <w:t xml:space="preserve"> Research Assistant for Polymer Science (KGWRAPS), an AI agent utilizing large language models and knowledge graphs to support domain experts in polymer experiment design and execution. By combining conversational capabilities with complex domain knowledge, this research assistant will identify trends among polymer properties and experimental conditions, ultimately using this information to draft experimental plans and relay them to scientists in natural language. Through this process, KGWRAPS will accelerate the development of the domain and push its boundaries.</w:t>
      </w:r>
    </w:p>
    <w:p w14:paraId="05388C96" w14:textId="77777777" w:rsidR="000421CA" w:rsidRDefault="000421CA" w:rsidP="000421CA">
      <w:r>
        <w:br w:type="page"/>
      </w:r>
    </w:p>
    <w:p w14:paraId="65761CA0" w14:textId="400E3BA0" w:rsidR="000421CA" w:rsidRDefault="00441698" w:rsidP="000421CA">
      <w:pPr>
        <w:spacing w:after="0"/>
      </w:pPr>
      <w:r>
        <w:rPr>
          <w:sz w:val="24"/>
        </w:rPr>
        <w:lastRenderedPageBreak/>
        <w:t>Boonshoft School of Medicine</w:t>
      </w:r>
    </w:p>
    <w:p w14:paraId="7F35008F" w14:textId="19944C62" w:rsidR="000421CA" w:rsidRDefault="000421CA" w:rsidP="000421CA">
      <w:pPr>
        <w:spacing w:after="240"/>
      </w:pPr>
    </w:p>
    <w:p w14:paraId="15E72FF0" w14:textId="77777777" w:rsidR="000421CA" w:rsidRDefault="000421CA" w:rsidP="000421CA">
      <w:pPr>
        <w:spacing w:after="0"/>
      </w:pPr>
      <w:r>
        <w:rPr>
          <w:sz w:val="24"/>
        </w:rPr>
        <w:t>TARGETING RIBONUCLEOTIDE REDUCTASE FOR CANCER AND BACTERIAL INFECTIONS</w:t>
      </w:r>
    </w:p>
    <w:p w14:paraId="6126B50B" w14:textId="77777777" w:rsidR="000421CA" w:rsidRDefault="000421CA" w:rsidP="000421CA">
      <w:pPr>
        <w:spacing w:after="0"/>
      </w:pPr>
      <w:r>
        <w:rPr>
          <w:sz w:val="24"/>
        </w:rPr>
        <w:t xml:space="preserve"> Saleem, Umair</w:t>
      </w:r>
    </w:p>
    <w:p w14:paraId="24FC634E" w14:textId="77777777" w:rsidR="000421CA" w:rsidRDefault="000421CA" w:rsidP="000421CA">
      <w:pPr>
        <w:spacing w:after="240"/>
      </w:pPr>
      <w:r>
        <w:rPr>
          <w:sz w:val="24"/>
        </w:rPr>
        <w:t xml:space="preserve"> Mentor: XU, DR YONG -JIE</w:t>
      </w:r>
    </w:p>
    <w:p w14:paraId="017A67EE" w14:textId="77777777" w:rsidR="000421CA" w:rsidRDefault="000421CA" w:rsidP="000421CA">
      <w:pPr>
        <w:spacing w:after="480"/>
      </w:pPr>
      <w:r>
        <w:t>Cancer is the major reason for death across the world. Many cancer treatments fail due to the unsuccessful targeting of DNA replication. Likewise, bacterial infections are also a major health hazard for public and are rising at an alarming rate because of antibiotic resistance. The main focus of this review is to assess the Ribonucleotide reductase (RNR) as a twin strategy for treating cancer as well as bacterial infections. The structure and mechanism of Ribonucleotide reductase both in bacteria as well as the cancer cells is accurately examined. It is evaluated for its potency in treatment approaches and its role in DNA synthesis. Several preclinical and clinical trials have been performed on RR inhibitors to check its effectiveness for the target treatments. For cancer treatments, RNR inhibitors such as hydroxyurea and gemcitabine are available which has guaranteed positive outcomes for the therapy. Moreover, the negative consequences like drug resistance and toxicity also remains. Likely, in bacterial infections, there is a high demand for the discovery of new antibiotics due to development of increasing levels of bacterial strains which are resistant to the available antibiotics. Ribonucleotide reductase inhibitors offer a promising strategy for therapeutic outcomes. They have been in clinical use for decades now and shows antitumor and antimicrobial activities even though they are yet to be explored in their respective strain. The clinical trials and scientific studies conducted in the upcoming years should aim at overcoming the drug resistance and improve the selective drug therapies to limit drug toxicity.</w:t>
      </w:r>
    </w:p>
    <w:p w14:paraId="4FF1B89A" w14:textId="77777777" w:rsidR="000421CA" w:rsidRDefault="000421CA" w:rsidP="000421CA">
      <w:r>
        <w:br w:type="page"/>
      </w:r>
    </w:p>
    <w:p w14:paraId="0743CD0F" w14:textId="07341E1B" w:rsidR="000421CA" w:rsidRDefault="000421CA" w:rsidP="000421CA">
      <w:pPr>
        <w:spacing w:after="0"/>
      </w:pPr>
      <w:r>
        <w:rPr>
          <w:sz w:val="24"/>
        </w:rPr>
        <w:lastRenderedPageBreak/>
        <w:t>Raj Soin College of</w:t>
      </w:r>
      <w:r w:rsidR="00F55C8E">
        <w:rPr>
          <w:sz w:val="24"/>
        </w:rPr>
        <w:t xml:space="preserve"> Business</w:t>
      </w:r>
    </w:p>
    <w:p w14:paraId="4F1E609C" w14:textId="08EBBA89" w:rsidR="000421CA" w:rsidRDefault="000421CA" w:rsidP="000421CA">
      <w:pPr>
        <w:spacing w:after="240"/>
      </w:pPr>
    </w:p>
    <w:p w14:paraId="05AFCD78" w14:textId="77777777" w:rsidR="000421CA" w:rsidRDefault="000421CA" w:rsidP="000421CA">
      <w:pPr>
        <w:spacing w:after="0"/>
      </w:pPr>
      <w:r>
        <w:rPr>
          <w:sz w:val="24"/>
        </w:rPr>
        <w:t>Helping Hand</w:t>
      </w:r>
    </w:p>
    <w:p w14:paraId="446A309D" w14:textId="09223AAE" w:rsidR="000421CA" w:rsidRDefault="000421CA" w:rsidP="000421CA">
      <w:pPr>
        <w:spacing w:after="0"/>
      </w:pPr>
      <w:proofErr w:type="spellStart"/>
      <w:r>
        <w:rPr>
          <w:sz w:val="24"/>
        </w:rPr>
        <w:t>Sathiyalingam</w:t>
      </w:r>
      <w:proofErr w:type="spellEnd"/>
      <w:r>
        <w:rPr>
          <w:sz w:val="24"/>
        </w:rPr>
        <w:t>, Sujanthan</w:t>
      </w:r>
    </w:p>
    <w:p w14:paraId="38D7BD78" w14:textId="0131D35F" w:rsidR="000421CA" w:rsidRDefault="000421CA" w:rsidP="000421CA">
      <w:pPr>
        <w:spacing w:after="240"/>
      </w:pPr>
      <w:r>
        <w:rPr>
          <w:sz w:val="24"/>
        </w:rPr>
        <w:t>Mentor: Jeyaraj, Anand</w:t>
      </w:r>
    </w:p>
    <w:p w14:paraId="478C748B" w14:textId="77777777" w:rsidR="000421CA" w:rsidRDefault="000421CA" w:rsidP="000421CA">
      <w:pPr>
        <w:spacing w:after="480"/>
      </w:pPr>
      <w:r>
        <w:t>Project “Helping Hand”: Fostering convenient access to transportation  Access to transportation is a significant challenge for many students, especially international students who do not own personal vehicles. Public transportation options in the United States are limited. Consequently, trips to destinations less than an hour away can take several hours by public transit, making it difficult to travel between campus, dormitories, and other places. Even with Uber and other ride apps, the cost of travel exceeds what a student might comfortably afford. However, many individuals commute alone in their personal vehicles.  This research project presents "Helping Hand," a mobile app that connects passengers with drivers to facilitate transportation for those in need. It is a platform where users can register as passengers or drivers. Passengers can request rides by specifying their location and time while drivers can accept or decline passenger requests based on the requested destination, their own availability, and other preferences. It also allows passengers to search for available rides and communicate with drivers via messaging. Drivers can either operate fixed routes at set times or offer more flexible rides as autonomous drivers. The app is developed using .NET MAUI for mobile application development and SQL for database management.  The primary target group for our app are students, as they often face difficulties using public transportation. By promoting shared ride systems and providing access to available car rides, we aim to provide a convenient and effective system that improves transportation and mobility for those in need.</w:t>
      </w:r>
    </w:p>
    <w:p w14:paraId="725FCB10" w14:textId="77777777" w:rsidR="000421CA" w:rsidRDefault="000421CA" w:rsidP="000421CA">
      <w:r>
        <w:br w:type="page"/>
      </w:r>
    </w:p>
    <w:p w14:paraId="5FFE2B75" w14:textId="5E61005D" w:rsidR="000421CA" w:rsidRDefault="00820D98" w:rsidP="000421CA">
      <w:pPr>
        <w:spacing w:after="0"/>
      </w:pPr>
      <w:r>
        <w:rPr>
          <w:sz w:val="24"/>
        </w:rPr>
        <w:lastRenderedPageBreak/>
        <w:t>College of Engineering and Computer Science</w:t>
      </w:r>
    </w:p>
    <w:p w14:paraId="34D61114" w14:textId="4EECC8BC" w:rsidR="000421CA" w:rsidRDefault="000421CA" w:rsidP="000421CA">
      <w:pPr>
        <w:spacing w:after="240"/>
      </w:pPr>
    </w:p>
    <w:p w14:paraId="7F447001" w14:textId="77777777" w:rsidR="000421CA" w:rsidRDefault="000421CA" w:rsidP="000421CA">
      <w:pPr>
        <w:spacing w:after="0"/>
      </w:pPr>
      <w:r>
        <w:rPr>
          <w:sz w:val="24"/>
        </w:rPr>
        <w:t>The In Vivo Failure of a Neurostimulator</w:t>
      </w:r>
    </w:p>
    <w:p w14:paraId="7F89CCE5" w14:textId="784A2F75" w:rsidR="000421CA" w:rsidRDefault="000421CA" w:rsidP="000421CA">
      <w:pPr>
        <w:spacing w:after="0"/>
      </w:pPr>
      <w:r>
        <w:rPr>
          <w:sz w:val="24"/>
        </w:rPr>
        <w:t>Sattler, Douglas Robert</w:t>
      </w:r>
    </w:p>
    <w:p w14:paraId="64867B07" w14:textId="510B9603" w:rsidR="000421CA" w:rsidRDefault="000421CA" w:rsidP="000421CA">
      <w:pPr>
        <w:spacing w:after="240"/>
      </w:pPr>
      <w:r>
        <w:rPr>
          <w:sz w:val="24"/>
        </w:rPr>
        <w:t>Mentor: Goswami, Tarun</w:t>
      </w:r>
    </w:p>
    <w:p w14:paraId="162AB5E7" w14:textId="77777777" w:rsidR="000421CA" w:rsidRDefault="000421CA" w:rsidP="000421CA">
      <w:pPr>
        <w:spacing w:after="480"/>
      </w:pPr>
      <w:r>
        <w:t>Understanding why an implantable medical, such as a neurostimulator, failed in vivo is crucial in determining if the failure was avoidable in several different modes. Determining whether the design, manufacturing, implantation, or unique in vivo environment were the cause of a failure can help decide lawsuits and future design changes. An individual with a failed neurostimulator sent pictures of the failed device, medical images, and provided anecdotal evidence of their experience through the lifetime of the device in order to provide a case study for failure analysis. The evidence provided showed insulation failures, lead corrosion, and instances of insulation entirely removed from the lead. Utilizing evidence and research from previous case report papers on neurostimulators and pacemakers, which provide information from a similar device, along with on hand neurostimulators retrieved through Wright State University’s Anatomical Gift Program, understanding of the likely causes of the in vivo failure can be ascertained without the physical device on hand. This information can provide peace of mind to the individual who provided the failed device information evidence and can provide insight into better design choices or quality engineering tests which may not have accounted for in vivo conditions that are now better understood.</w:t>
      </w:r>
    </w:p>
    <w:p w14:paraId="7F912A24" w14:textId="77777777" w:rsidR="000421CA" w:rsidRDefault="000421CA" w:rsidP="000421CA">
      <w:r>
        <w:br w:type="page"/>
      </w:r>
    </w:p>
    <w:p w14:paraId="7F0AB55D" w14:textId="3E4FAA0B" w:rsidR="000421CA" w:rsidRDefault="00441698" w:rsidP="000421CA">
      <w:pPr>
        <w:spacing w:after="0"/>
      </w:pPr>
      <w:r>
        <w:rPr>
          <w:sz w:val="24"/>
        </w:rPr>
        <w:lastRenderedPageBreak/>
        <w:t>Boonshoft School of Medicine</w:t>
      </w:r>
    </w:p>
    <w:p w14:paraId="58DCAE97" w14:textId="5A59996D" w:rsidR="000421CA" w:rsidRDefault="000421CA" w:rsidP="000421CA">
      <w:pPr>
        <w:spacing w:after="240"/>
      </w:pPr>
    </w:p>
    <w:p w14:paraId="3EBEEFE3" w14:textId="77777777" w:rsidR="000421CA" w:rsidRDefault="000421CA" w:rsidP="000421CA">
      <w:pPr>
        <w:spacing w:after="0"/>
      </w:pPr>
      <w:r>
        <w:rPr>
          <w:sz w:val="24"/>
        </w:rPr>
        <w:t>Two functional inhibitors of acid sphingomyelinase, amitriptyline and imipramine, can reduce low fluence UVB-induced erythema in rosacea patients</w:t>
      </w:r>
    </w:p>
    <w:p w14:paraId="3E05BBF2" w14:textId="1153A146" w:rsidR="000421CA" w:rsidRDefault="000421CA" w:rsidP="000421CA">
      <w:pPr>
        <w:spacing w:after="0"/>
      </w:pPr>
      <w:r>
        <w:rPr>
          <w:sz w:val="24"/>
        </w:rPr>
        <w:t>Savin, Avital</w:t>
      </w:r>
    </w:p>
    <w:p w14:paraId="7D07FCA4" w14:textId="505EA7D6" w:rsidR="000421CA" w:rsidRDefault="000421CA" w:rsidP="000421CA">
      <w:pPr>
        <w:spacing w:after="240"/>
      </w:pPr>
      <w:r>
        <w:rPr>
          <w:sz w:val="24"/>
        </w:rPr>
        <w:t>Mentor: Travers, Jeffrey</w:t>
      </w:r>
    </w:p>
    <w:p w14:paraId="36741597" w14:textId="77777777" w:rsidR="000421CA" w:rsidRDefault="000421CA" w:rsidP="000421CA">
      <w:pPr>
        <w:spacing w:after="480"/>
      </w:pPr>
      <w:r>
        <w:t xml:space="preserve">Rosacea is a common chronic heterogeneous inflammatory disease that is often associated with heightened sensitivity and inflammatory responses to ultraviolet (UV) light. Recent clinical and murine studies suggest that exposure to UVB leads to the activation of the enzyme acid sphingomyelinase (ASM) in keratinocytes, which results in the release of </w:t>
      </w:r>
      <w:proofErr w:type="spellStart"/>
      <w:r>
        <w:t>microvesicle</w:t>
      </w:r>
      <w:proofErr w:type="spellEnd"/>
      <w:r>
        <w:t xml:space="preserve"> particles (MVPs), ultimately causing inflammation and immune suppression. Murine studies have shown that functional inhibitors of ASM (FIASMs), including two tricyclic antidepressants, imipramine and amitriptyline, have been shown to block MVP release and its resulting inflammation. This study assessed the ability of topical 4% and 10% formulations of imipramine and amitriptyline to block localized low-fluence UVB-induced erythema reactions in subjects with rosacea. Subjects with clinical rosacea and controls received either 4% of topical amitriptyline or imipramine on one facial side and a vehicle on the contralateral side in this double-blinded, placebo-controlled clinical trial, conducted in a single center. Following the administration of the medication, participants were then exposed to a low-fluence (300 J/m2) of artificial UVB light. Erythema, temperature, pain, and pruritus were assessed at baseline, 30 minutes after applying the FIASM, and 10, 60, 120 minutes, and 24 hours post-UVB exposure. The 4% formulations of both FIASMs significantly reduced UVB-induced erythema compared to vehicle treatment in some subjects. Based on the initial findings with 26 subjects, the trial was escalated to evaluate 10% formulations of topical FIASMs, resulting in at least equal efficacy compared to the 4% formulations, with ongoing enrollment. No side effects of topical FIASM treatment were noted. Additionally, we found that 42% of subjects responding to a photosensitivity questionnaire were unable to correctly identify their photosensitivity status. Altogether, topical FIASMs, such as amitriptyline and imipramine, reduced UVB-induced erythema in some rosacea subjects, suggesting a novel therapeutic target for photosensitive rosacea and possibly other light-sensitive disorders.</w:t>
      </w:r>
    </w:p>
    <w:p w14:paraId="1E6D1EFE" w14:textId="77777777" w:rsidR="000421CA" w:rsidRDefault="000421CA" w:rsidP="000421CA">
      <w:r>
        <w:br w:type="page"/>
      </w:r>
    </w:p>
    <w:p w14:paraId="5B4AC7A5" w14:textId="12C57DC3" w:rsidR="000421CA" w:rsidRDefault="00004C7D" w:rsidP="000421CA">
      <w:pPr>
        <w:spacing w:after="0"/>
      </w:pPr>
      <w:r>
        <w:rPr>
          <w:sz w:val="24"/>
        </w:rPr>
        <w:lastRenderedPageBreak/>
        <w:t>College of Science and Mathematics</w:t>
      </w:r>
    </w:p>
    <w:p w14:paraId="5ED9E8D2" w14:textId="6E9B3AE6" w:rsidR="000421CA" w:rsidRDefault="000421CA" w:rsidP="000421CA">
      <w:pPr>
        <w:spacing w:after="240"/>
      </w:pPr>
    </w:p>
    <w:p w14:paraId="00718D42" w14:textId="77777777" w:rsidR="000421CA" w:rsidRDefault="000421CA" w:rsidP="000421CA">
      <w:pPr>
        <w:spacing w:after="0"/>
      </w:pPr>
      <w:r>
        <w:rPr>
          <w:sz w:val="24"/>
        </w:rPr>
        <w:t>Investigating Genetic Mechanisms of α-Synuclein Toxicity: The Role of Mitochondrial Membrane Proteins</w:t>
      </w:r>
    </w:p>
    <w:p w14:paraId="1F44D0AE" w14:textId="300A36DC" w:rsidR="000421CA" w:rsidRDefault="000421CA" w:rsidP="000421CA">
      <w:pPr>
        <w:spacing w:after="0"/>
      </w:pPr>
      <w:r>
        <w:rPr>
          <w:sz w:val="24"/>
        </w:rPr>
        <w:t>Scott, Lauren Kelly</w:t>
      </w:r>
    </w:p>
    <w:p w14:paraId="2E06636D" w14:textId="12E76726" w:rsidR="000421CA" w:rsidRDefault="000421CA" w:rsidP="000421CA">
      <w:pPr>
        <w:spacing w:after="240"/>
      </w:pPr>
      <w:r>
        <w:rPr>
          <w:sz w:val="24"/>
        </w:rPr>
        <w:t>Mentor: Zhong, Quan</w:t>
      </w:r>
    </w:p>
    <w:p w14:paraId="46212520" w14:textId="77777777" w:rsidR="000421CA" w:rsidRDefault="000421CA" w:rsidP="000421CA">
      <w:pPr>
        <w:spacing w:after="480"/>
      </w:pPr>
      <w:r>
        <w:t>Parkinson’s Disease (PD) is the second most common neurodegenerative disease. It is all encompassing, and manifests with neurological and motor symptoms such as muscle tremors, impaired cognitive function, and bradykinesia. A hallmark of PD is  Lewy bodies, which are cytoplasmic inclusions comprised of misfolded proteins such as α-synuclein.  Although the cause of PD remains unclear, past research suggests a link between mitochondria and PD. Damaged mitochondria are found in PD patients. Mitochondrial genes such as PARKIN and PINK1 have been linked to PD. This provides a strong basis to investigate genetic modifiers of PD. Using genetic screening, we discovered ten mitochondrial membrane proteins that, when overexpressed, enhance the toxicity of α-synuclein. We have individually validated the enhancer effect on cell growth and survival. We are now investigating the mechanism underlying increased toxicity through fluorescent microscopy. First, we are looking at the effect of these enhancer proteins on mitochondrial dynamics and changes to α-synuclein accumulation. Second, we generated strains expressing both α-synuclein and the enhancer protein with C-terminal fluorescence tags and examined the cellular localization of the enhancer protein and α-synuclein. Our findings will help elucidate the molecular mechanism of the enhancer genes. . Our long-term goal is to gain deeper understanding of the role of mitochondria in PD development and identify therapeutic targets.</w:t>
      </w:r>
    </w:p>
    <w:p w14:paraId="009A1AA0" w14:textId="77777777" w:rsidR="000421CA" w:rsidRDefault="000421CA" w:rsidP="000421CA">
      <w:r>
        <w:br w:type="page"/>
      </w:r>
    </w:p>
    <w:p w14:paraId="32FC2DC3" w14:textId="263D8105" w:rsidR="000421CA" w:rsidRDefault="00820D98" w:rsidP="000421CA">
      <w:pPr>
        <w:spacing w:after="0"/>
      </w:pPr>
      <w:r>
        <w:rPr>
          <w:sz w:val="24"/>
        </w:rPr>
        <w:lastRenderedPageBreak/>
        <w:t>College of Engineering and Computer Science</w:t>
      </w:r>
    </w:p>
    <w:p w14:paraId="0F74702E" w14:textId="21B5525A" w:rsidR="000421CA" w:rsidRDefault="000421CA" w:rsidP="000421CA">
      <w:pPr>
        <w:spacing w:after="240"/>
      </w:pPr>
    </w:p>
    <w:p w14:paraId="02C89C15" w14:textId="77777777" w:rsidR="000421CA" w:rsidRDefault="000421CA" w:rsidP="000421CA">
      <w:pPr>
        <w:spacing w:after="0"/>
      </w:pPr>
      <w:r>
        <w:rPr>
          <w:sz w:val="24"/>
        </w:rPr>
        <w:t>Classifying Behavioral Deviations - Including Those That May Indicate Deception</w:t>
      </w:r>
    </w:p>
    <w:p w14:paraId="65189061" w14:textId="482F92BB" w:rsidR="000421CA" w:rsidRDefault="000421CA" w:rsidP="000421CA">
      <w:pPr>
        <w:spacing w:after="0"/>
      </w:pPr>
      <w:r>
        <w:rPr>
          <w:sz w:val="24"/>
        </w:rPr>
        <w:t>Severyn, Stacie Noel</w:t>
      </w:r>
    </w:p>
    <w:p w14:paraId="7A67D683" w14:textId="641CD9F6" w:rsidR="000421CA" w:rsidRDefault="000421CA" w:rsidP="000421CA">
      <w:pPr>
        <w:spacing w:after="240"/>
      </w:pPr>
      <w:r>
        <w:rPr>
          <w:sz w:val="24"/>
        </w:rPr>
        <w:t>Mentor: Shimizu, Cogan</w:t>
      </w:r>
    </w:p>
    <w:p w14:paraId="7C9D63C3" w14:textId="77777777" w:rsidR="000421CA" w:rsidRDefault="000421CA" w:rsidP="000421CA">
      <w:pPr>
        <w:spacing w:after="480"/>
      </w:pPr>
      <w:r>
        <w:t xml:space="preserve">As human–machine collaboration becomes increasingly central to modern production and interactive systems, machines must interpret complex human behavior safely and accurately. </w:t>
      </w:r>
      <w:proofErr w:type="spellStart"/>
      <w:r>
        <w:t>OntoPret</w:t>
      </w:r>
      <w:proofErr w:type="spellEnd"/>
      <w:r>
        <w:t xml:space="preserve"> is a formally defined ontology that captures human actions. Grounded in cognitive science and constructed with a modular engineering methodology, </w:t>
      </w:r>
      <w:proofErr w:type="spellStart"/>
      <w:r>
        <w:t>Ontopret</w:t>
      </w:r>
      <w:proofErr w:type="spellEnd"/>
      <w:r>
        <w:t xml:space="preserve"> offers a machine processable framework for classifying behavioral deviations—including those that may indicate deception—thereby enabling advanced reasoning about human intentions.</w:t>
      </w:r>
    </w:p>
    <w:p w14:paraId="3D091990" w14:textId="77777777" w:rsidR="000421CA" w:rsidRDefault="000421CA" w:rsidP="000421CA">
      <w:r>
        <w:br w:type="page"/>
      </w:r>
    </w:p>
    <w:p w14:paraId="21268E8B" w14:textId="7E2727F1" w:rsidR="000421CA" w:rsidRDefault="00004C7D" w:rsidP="000421CA">
      <w:pPr>
        <w:spacing w:after="0"/>
      </w:pPr>
      <w:r>
        <w:rPr>
          <w:sz w:val="24"/>
        </w:rPr>
        <w:lastRenderedPageBreak/>
        <w:t>College of Science and Mathematics</w:t>
      </w:r>
    </w:p>
    <w:p w14:paraId="5F372D2E" w14:textId="563DBC28" w:rsidR="000421CA" w:rsidRDefault="000421CA" w:rsidP="000421CA">
      <w:pPr>
        <w:spacing w:after="240"/>
      </w:pPr>
    </w:p>
    <w:p w14:paraId="74D8E22E" w14:textId="77777777" w:rsidR="000421CA" w:rsidRDefault="000421CA" w:rsidP="000421CA">
      <w:pPr>
        <w:spacing w:after="0"/>
      </w:pPr>
      <w:r>
        <w:rPr>
          <w:sz w:val="24"/>
        </w:rPr>
        <w:t xml:space="preserve">Roles of </w:t>
      </w:r>
      <w:proofErr w:type="spellStart"/>
      <w:r>
        <w:rPr>
          <w:sz w:val="24"/>
        </w:rPr>
        <w:t>Calpastatin</w:t>
      </w:r>
      <w:proofErr w:type="spellEnd"/>
      <w:r>
        <w:rPr>
          <w:sz w:val="24"/>
        </w:rPr>
        <w:t xml:space="preserve"> in Progression of Injuries after Peripheral Nerve Compression</w:t>
      </w:r>
    </w:p>
    <w:p w14:paraId="3F69F2A0" w14:textId="1C61F4D1" w:rsidR="000421CA" w:rsidRDefault="000421CA" w:rsidP="000421CA">
      <w:pPr>
        <w:spacing w:after="0"/>
      </w:pPr>
      <w:r>
        <w:rPr>
          <w:sz w:val="24"/>
        </w:rPr>
        <w:t>Sheriff, Nathan</w:t>
      </w:r>
    </w:p>
    <w:p w14:paraId="5E8DBDF6" w14:textId="74F9C7AB" w:rsidR="000421CA" w:rsidRDefault="000421CA" w:rsidP="000421CA">
      <w:pPr>
        <w:spacing w:after="240"/>
      </w:pPr>
      <w:r>
        <w:rPr>
          <w:sz w:val="24"/>
        </w:rPr>
        <w:t xml:space="preserve">Mentor: </w:t>
      </w:r>
      <w:proofErr w:type="spellStart"/>
      <w:r>
        <w:rPr>
          <w:sz w:val="24"/>
        </w:rPr>
        <w:t>Susuki</w:t>
      </w:r>
      <w:proofErr w:type="spellEnd"/>
      <w:r>
        <w:rPr>
          <w:sz w:val="24"/>
        </w:rPr>
        <w:t>, Keiichiro</w:t>
      </w:r>
    </w:p>
    <w:p w14:paraId="7EBD7E66" w14:textId="77777777" w:rsidR="000421CA" w:rsidRDefault="000421CA" w:rsidP="000421CA">
      <w:pPr>
        <w:spacing w:after="480"/>
      </w:pPr>
      <w:r>
        <w:t xml:space="preserve">Chronic nerve compression (CNC) is a common peripheral neuropathy that leads to neurological symptoms including altered sensation and pain. The pathology of compression neuropathies involves demyelination, Schwann cell apoptosis, and disruption of axo-glial junctions at the paranodes in myelinated nerve fibers. Structural integrity of </w:t>
      </w:r>
      <w:proofErr w:type="spellStart"/>
      <w:r>
        <w:t>paranodal</w:t>
      </w:r>
      <w:proofErr w:type="spellEnd"/>
      <w:r>
        <w:t xml:space="preserve"> axo-glial junctions is essential for preserving nerve conduction. The mechanism in which these junctions become disrupted is largely unknown. Calpains are calcium dependent proteases whose dysregulated activity has been associated with worsening outcomes in neurodegenerative disorders such as Alzheimer’s and Parkinson’s disease, where they contribute to neuronal dysfunction and cell death. However, their contribution in the peripheral nerve injuries is unclear. We hypothesize that calpain activity could contribute to pathology in CNC, similar to its effects in neurodegenerative diseases involving the brain. To investigate this, we used knockout mice lacking </w:t>
      </w:r>
      <w:proofErr w:type="spellStart"/>
      <w:r>
        <w:t>calpastatin</w:t>
      </w:r>
      <w:proofErr w:type="spellEnd"/>
      <w:r>
        <w:t xml:space="preserve"> (CAST), the endogenous calpain inhibitor, to assess how calpains influences axo-glial junction stability and apoptosis under CNC. CAST KO and wild-type (WT) mice underwent chronic compression induced by placing a silastic tube around the sciatic nerve in the middle of the thigh, then nerves were analyzed for an apoptosis marker, cleaved caspase-3 (CC3), and </w:t>
      </w:r>
      <w:proofErr w:type="spellStart"/>
      <w:r>
        <w:t>paranodal</w:t>
      </w:r>
      <w:proofErr w:type="spellEnd"/>
      <w:r>
        <w:t xml:space="preserve"> axo-glial junction morphology using immunohistochemistry. At 2 weeks after compression, KO compressed nerves showed higher number of CC3-positive cells than WT, indicating increased early apoptosis, while </w:t>
      </w:r>
      <w:proofErr w:type="spellStart"/>
      <w:r>
        <w:t>paranodal</w:t>
      </w:r>
      <w:proofErr w:type="spellEnd"/>
      <w:r>
        <w:t xml:space="preserve"> disruption was comparable in KO and WT compressed nerves. By 12 weeks after compression, WT nerves exhibited dramatic elevation of CC3-positive cells and </w:t>
      </w:r>
      <w:proofErr w:type="spellStart"/>
      <w:r>
        <w:t>paranodal</w:t>
      </w:r>
      <w:proofErr w:type="spellEnd"/>
      <w:r>
        <w:t xml:space="preserve"> disruption. In contrast, KO nerves at 12 weeks showed reduced CC3-positive cells compared to 2 weeks, while </w:t>
      </w:r>
      <w:proofErr w:type="spellStart"/>
      <w:r>
        <w:t>paranodal</w:t>
      </w:r>
      <w:proofErr w:type="spellEnd"/>
      <w:r>
        <w:t xml:space="preserve"> disruption was comparable to 2 weeks. These results suggest CAST modulates the temporal progression of apoptosis and </w:t>
      </w:r>
      <w:proofErr w:type="spellStart"/>
      <w:r>
        <w:t>paranodal</w:t>
      </w:r>
      <w:proofErr w:type="spellEnd"/>
      <w:r>
        <w:t xml:space="preserve"> junction stability in CNC.</w:t>
      </w:r>
    </w:p>
    <w:p w14:paraId="46A70ECF" w14:textId="77777777" w:rsidR="000421CA" w:rsidRDefault="000421CA" w:rsidP="000421CA">
      <w:r>
        <w:br w:type="page"/>
      </w:r>
    </w:p>
    <w:p w14:paraId="11EFE981" w14:textId="20A76477" w:rsidR="000421CA" w:rsidRDefault="00820D98" w:rsidP="000421CA">
      <w:pPr>
        <w:spacing w:after="0"/>
      </w:pPr>
      <w:r>
        <w:rPr>
          <w:sz w:val="24"/>
        </w:rPr>
        <w:lastRenderedPageBreak/>
        <w:t>College of Engineering and Computer Science</w:t>
      </w:r>
    </w:p>
    <w:p w14:paraId="3BDDA639" w14:textId="05451B57" w:rsidR="000421CA" w:rsidRDefault="000421CA" w:rsidP="000421CA">
      <w:pPr>
        <w:spacing w:after="240"/>
      </w:pPr>
    </w:p>
    <w:p w14:paraId="1AA29592" w14:textId="77777777" w:rsidR="000421CA" w:rsidRDefault="000421CA" w:rsidP="000421CA">
      <w:pPr>
        <w:spacing w:after="0"/>
      </w:pPr>
      <w:r>
        <w:rPr>
          <w:sz w:val="24"/>
        </w:rPr>
        <w:t>Schema Aware SPARQL Generation</w:t>
      </w:r>
    </w:p>
    <w:p w14:paraId="6A50D309" w14:textId="1F86FEC2" w:rsidR="000421CA" w:rsidRDefault="000421CA" w:rsidP="000421CA">
      <w:pPr>
        <w:spacing w:after="0"/>
      </w:pPr>
      <w:r>
        <w:rPr>
          <w:sz w:val="24"/>
        </w:rPr>
        <w:t>Shrestha, Susan</w:t>
      </w:r>
    </w:p>
    <w:p w14:paraId="39BCE7AC" w14:textId="18E82EA6" w:rsidR="000421CA" w:rsidRDefault="000421CA" w:rsidP="000421CA">
      <w:pPr>
        <w:spacing w:after="240"/>
      </w:pPr>
      <w:r>
        <w:rPr>
          <w:sz w:val="24"/>
        </w:rPr>
        <w:t>Mentor: Shimizu, Cogan</w:t>
      </w:r>
    </w:p>
    <w:p w14:paraId="1F107E70" w14:textId="77777777" w:rsidR="000421CA" w:rsidRDefault="000421CA" w:rsidP="000421CA">
      <w:pPr>
        <w:spacing w:after="480"/>
      </w:pPr>
      <w:r>
        <w:t>This research focuses on building a "Graph-RAG" architecture that helps Large Language Models generate accurate, schema-aware SPARQL queries. The system works by converting a domain ontology into a searchable vector index, allowing it to identify and extract relevant subgraphs based on a user’s prompt. These structural "slices" are then translated into natural language context, guiding the LLM to produce valid SPARQL that can be executed against a populated knowledge graph. Finally, the project uses a benchmark dataset of manual queries to scientifically evaluate how well the pipeline handles complex data retrieval.</w:t>
      </w:r>
    </w:p>
    <w:p w14:paraId="56CF5711" w14:textId="77777777" w:rsidR="000421CA" w:rsidRDefault="000421CA" w:rsidP="000421CA">
      <w:r>
        <w:br w:type="page"/>
      </w:r>
    </w:p>
    <w:p w14:paraId="6B4C12D8" w14:textId="542F00B7" w:rsidR="000421CA" w:rsidRDefault="00820D98" w:rsidP="000421CA">
      <w:pPr>
        <w:spacing w:after="0"/>
      </w:pPr>
      <w:r>
        <w:rPr>
          <w:sz w:val="24"/>
        </w:rPr>
        <w:lastRenderedPageBreak/>
        <w:t>College of Engineering and Computer Science</w:t>
      </w:r>
    </w:p>
    <w:p w14:paraId="607BE958" w14:textId="13DE2E01" w:rsidR="000421CA" w:rsidRDefault="000421CA" w:rsidP="000421CA">
      <w:pPr>
        <w:spacing w:after="240"/>
      </w:pPr>
    </w:p>
    <w:p w14:paraId="66B2F0EF" w14:textId="2860F39D" w:rsidR="000421CA" w:rsidRDefault="000421CA" w:rsidP="000421CA">
      <w:pPr>
        <w:spacing w:after="0"/>
      </w:pPr>
      <w:r>
        <w:rPr>
          <w:sz w:val="24"/>
        </w:rPr>
        <w:t>Design and Characterization of Inkjet-Printed Nanomaterial Inks for High-Resolution Electronic Manufacturing</w:t>
      </w:r>
    </w:p>
    <w:p w14:paraId="79D1F8C8" w14:textId="48FBC3A4" w:rsidR="000421CA" w:rsidRDefault="000421CA" w:rsidP="000421CA">
      <w:pPr>
        <w:spacing w:after="0"/>
      </w:pPr>
      <w:r>
        <w:rPr>
          <w:sz w:val="24"/>
        </w:rPr>
        <w:t>Singh, Arashdeep</w:t>
      </w:r>
    </w:p>
    <w:p w14:paraId="07420972" w14:textId="7D8D5679" w:rsidR="000421CA" w:rsidRDefault="000421CA" w:rsidP="000421CA">
      <w:pPr>
        <w:spacing w:after="240"/>
      </w:pPr>
      <w:r>
        <w:rPr>
          <w:sz w:val="24"/>
        </w:rPr>
        <w:t>Mentor: Mian, Ahsan</w:t>
      </w:r>
    </w:p>
    <w:p w14:paraId="0B710667" w14:textId="77777777" w:rsidR="000421CA" w:rsidRDefault="000421CA" w:rsidP="000421CA">
      <w:pPr>
        <w:spacing w:after="480"/>
      </w:pPr>
      <w:r>
        <w:t xml:space="preserve">Abstract Inkjet printing is a versatile and scalable additive manufacturing technique for fabricating flexible hybrid electronic devices, allowing accurate deposition of functional materials with controlled patterns. This work focuses on the preparation, processing, and evaluation of functional inks intended for heterogeneous integration and packaging applications. A silver nanoparticle (Ag NP) ink was selected for conductive features because of its excellent electrical conductivity and ability to form high-resolution patterns. For insulating layers, polyimide and a polyimide/Ba2TiO3 nanocomposite were employed. The addition of barium titanate (Ba2TiO3) nanoparticles </w:t>
      </w:r>
      <w:proofErr w:type="gramStart"/>
      <w:r>
        <w:t>increase</w:t>
      </w:r>
      <w:proofErr w:type="gramEnd"/>
      <w:r>
        <w:t xml:space="preserve"> the dielectric constant, thereby enhancing the electrical characteristics of the printed structures. All ink formulations were optimized to ensure compatibility with the inkjet process, achieving stable droplet formation and uniform layer deposition. After printing, curing treatments were applied to improve structural stability and to achieve the required mechanical strength and electrical performance. The printed samples were thoroughly characterized to assess structural and functional quality. Optical microscopy was used to examine pattern fidelity and surface uniformity. Scanning electron microscopy (SEM) provided detailed insights into surface morphology and microstructural consistency, while energy-dispersive X-ray spectroscopy (EDS) confirmed elemental composition and distribution. Furthermore, X-ray computed tomography (X-ray CT) was utilized as a non-destructive method to analyze internal features, layer continuity, and nanoparticle dispersion within the printed pads. The findings confirm that inkjet printing is an effective method for fabricating finely patterned, functional electronic components using advanced conductive and dielectric materials. The use of a ceramic-polymer composite dielectric significantly improves dielectric performance, demonstrating strong potential for next-generation flexible sensors, capacitors, and electronic packaging systems.   Keywords: Inkjet Printing; Silver nanoparticle ink; Polyimide ink; Nanocomposite dielectric ink; Electronic Packaging; SEM; EDS; X-ray CT</w:t>
      </w:r>
    </w:p>
    <w:p w14:paraId="0A0F4270" w14:textId="77777777" w:rsidR="000421CA" w:rsidRDefault="000421CA" w:rsidP="000421CA">
      <w:r>
        <w:br w:type="page"/>
      </w:r>
    </w:p>
    <w:p w14:paraId="06746BD4" w14:textId="52C3F246" w:rsidR="000421CA" w:rsidRDefault="00004C7D" w:rsidP="000421CA">
      <w:pPr>
        <w:spacing w:after="0"/>
      </w:pPr>
      <w:r>
        <w:rPr>
          <w:sz w:val="24"/>
        </w:rPr>
        <w:lastRenderedPageBreak/>
        <w:t>College of Science and Mathematics</w:t>
      </w:r>
    </w:p>
    <w:p w14:paraId="3B594CC7" w14:textId="4FC1BB40" w:rsidR="000421CA" w:rsidRDefault="000421CA" w:rsidP="000421CA">
      <w:pPr>
        <w:spacing w:after="240"/>
      </w:pPr>
    </w:p>
    <w:p w14:paraId="083F1E71" w14:textId="77777777" w:rsidR="000421CA" w:rsidRDefault="000421CA" w:rsidP="000421CA">
      <w:pPr>
        <w:spacing w:after="0"/>
      </w:pPr>
      <w:r>
        <w:rPr>
          <w:sz w:val="24"/>
        </w:rPr>
        <w:t>Behavioral Topography in Earthworms Classically Conditioned with Vibration and Light</w:t>
      </w:r>
    </w:p>
    <w:p w14:paraId="787F9410" w14:textId="24AA3809" w:rsidR="000421CA" w:rsidRDefault="000421CA" w:rsidP="000421CA">
      <w:pPr>
        <w:spacing w:after="0"/>
      </w:pPr>
      <w:r>
        <w:rPr>
          <w:sz w:val="24"/>
        </w:rPr>
        <w:t>Singh, Navjot</w:t>
      </w:r>
    </w:p>
    <w:p w14:paraId="516020CC" w14:textId="313484AA" w:rsidR="000421CA" w:rsidRDefault="000421CA" w:rsidP="000421CA">
      <w:pPr>
        <w:spacing w:after="240"/>
      </w:pPr>
      <w:r>
        <w:rPr>
          <w:sz w:val="24"/>
        </w:rPr>
        <w:t>Mentor: Claflin, Dragana</w:t>
      </w:r>
    </w:p>
    <w:p w14:paraId="6FD71D08" w14:textId="77777777" w:rsidR="000421CA" w:rsidRDefault="000421CA" w:rsidP="000421CA">
      <w:pPr>
        <w:spacing w:after="480"/>
      </w:pPr>
      <w:r>
        <w:t>Common composting earthworms (Eisenia Fetida) were classically conditioned using a vibration conditioned stimulus (CS) and a bright light unconditioned stimulus (US). The behavioral topography of the earthworm responses to both CS and US were coded from collected videos in an effort to identify the most reliable indicator of conditioning. Based on a reading of the literature, we focused on extension, freezing, and retraction behaviors. Traditionally, conditioning studies using a light US have focused on earthworm retraction behavior. However, preliminary data from our lab suggested that freezing behavior preceding retractions may be more indicative of conditioning.  Twelve earthworms (0.3 - 0.5 grams in weight; clitellum present) were evenly divided into two groups: the experimental paired conditioning group (PRD) and an unpaired control group (UP). Both groups received daily training over five days consisting of a 10-minute adaptation period followed by PRD or UP schedules. PRD training consisted of 45 CS-US paired delay conditioning trials (6s vibration co-terminating with 2s light) and five CS-alone test trials, one occurring on every tenth trial. The average intertrial interval (ITI) was 15 ±3 seconds. The UP group experienced 50 CS-alone and 45 US-alone presentations in pseudorandom order to match the number of stimulus presentations during PRD training. The UP ITI was 7±3 seconds to maintain the overall session length of 17 minutes.  We hypothesized that we would see an increase in freezing for the PRD group relative to the UP control group, indicating conditioning. Additionally, we expected a shift in latency for freezing behavior, with earlier freezing indicating anticipatory responding. We were unsure whether there would be a corresponding shift in retraction latency later in training. Data will be presented comparing freezing and retraction during the first and final day of conditioning.</w:t>
      </w:r>
    </w:p>
    <w:p w14:paraId="2A819D77" w14:textId="77777777" w:rsidR="000421CA" w:rsidRDefault="000421CA" w:rsidP="000421CA">
      <w:r>
        <w:br w:type="page"/>
      </w:r>
    </w:p>
    <w:p w14:paraId="4982A4BD" w14:textId="1FC4C5CC" w:rsidR="000421CA" w:rsidRDefault="00004C7D" w:rsidP="000421CA">
      <w:pPr>
        <w:spacing w:after="0"/>
      </w:pPr>
      <w:r>
        <w:rPr>
          <w:sz w:val="24"/>
        </w:rPr>
        <w:lastRenderedPageBreak/>
        <w:t>College of Science and Mathematics</w:t>
      </w:r>
    </w:p>
    <w:p w14:paraId="33F6BD94" w14:textId="38A93E24" w:rsidR="000421CA" w:rsidRDefault="000421CA" w:rsidP="000421CA">
      <w:pPr>
        <w:spacing w:after="240"/>
      </w:pPr>
    </w:p>
    <w:p w14:paraId="21760FA4" w14:textId="77777777" w:rsidR="000421CA" w:rsidRDefault="000421CA" w:rsidP="000421CA">
      <w:pPr>
        <w:spacing w:after="0"/>
      </w:pPr>
      <w:r>
        <w:rPr>
          <w:sz w:val="24"/>
        </w:rPr>
        <w:t>Balancing acts: quantifying tradeoffs in root C:N ratio and mycorrhizal colonization rates as a function of tree mycorrhizal association and soil nutrient availability</w:t>
      </w:r>
    </w:p>
    <w:p w14:paraId="4942C631" w14:textId="1442A668" w:rsidR="000421CA" w:rsidRDefault="000421CA" w:rsidP="000421CA">
      <w:pPr>
        <w:spacing w:after="0"/>
      </w:pPr>
      <w:r>
        <w:rPr>
          <w:sz w:val="24"/>
        </w:rPr>
        <w:t>Slaughter, Mariah</w:t>
      </w:r>
    </w:p>
    <w:p w14:paraId="21BA27CF" w14:textId="5BF6936F" w:rsidR="000421CA" w:rsidRDefault="000421CA" w:rsidP="000421CA">
      <w:pPr>
        <w:spacing w:after="240"/>
      </w:pPr>
      <w:r>
        <w:rPr>
          <w:sz w:val="24"/>
        </w:rPr>
        <w:t>Mentor: Rúa, Megan</w:t>
      </w:r>
    </w:p>
    <w:p w14:paraId="7D95FA26" w14:textId="77777777" w:rsidR="000421CA" w:rsidRDefault="000421CA" w:rsidP="000421CA">
      <w:pPr>
        <w:spacing w:after="480"/>
      </w:pPr>
      <w:r>
        <w:t>Tree root systems serve multiple functions, balancing the acquisition of nutrients from the soil through nitrogen-rich roots with resource conservation, maximizing stress tolerance through carbon-rich roots. Additionally, trees form partnerships with two types of mycorrhizal fungi to increase their ability to access soil nutrients; arbuscular mycorrhizal fungi (AM) which can access the inorganic nutrients and ectomycorrhizal fungi (</w:t>
      </w:r>
      <w:proofErr w:type="spellStart"/>
      <w:r>
        <w:t>EcM</w:t>
      </w:r>
      <w:proofErr w:type="spellEnd"/>
      <w:r>
        <w:t xml:space="preserve">) which produce extracellular enzymes to mineralize organic nutrients for uptake. As such, we expect the tree-mycorrhizal association (AM or </w:t>
      </w:r>
      <w:proofErr w:type="spellStart"/>
      <w:r>
        <w:t>EcM</w:t>
      </w:r>
      <w:proofErr w:type="spellEnd"/>
      <w:r>
        <w:t xml:space="preserve"> tree) to influence the degree of root-mycorrhizal colonization and the carbon to nitrogen (C:N) ratio of terminal roots under different soil nutrient availability scenarios. To investigate this tradeoff, we quantified the root C:N ratio and mycorrhizal colonization of terminal roots of AM and </w:t>
      </w:r>
      <w:proofErr w:type="spellStart"/>
      <w:r>
        <w:t>EcM</w:t>
      </w:r>
      <w:proofErr w:type="spellEnd"/>
      <w:r>
        <w:t xml:space="preserve"> associated trees to explore how key indicators of soil nutrient availability altered root investment strategies. Overall, we found evidence that tree-mycorrhizal association influences root investment strategies in concert with soil nutrient availability. AM trees invested more into nutrient acquisition through lower C:N ratios with greater phosphorus mineralization, while </w:t>
      </w:r>
      <w:proofErr w:type="spellStart"/>
      <w:r>
        <w:t>EcM</w:t>
      </w:r>
      <w:proofErr w:type="spellEnd"/>
      <w:r>
        <w:t xml:space="preserve"> trees invested more into collaboration with greater C:N ratios with high phosphorus mineralization (F(2, 74.6) = 3.17, p = 0.048). Additionally, patterns of mycorrhizal colonization changed based on soil chemistry, such that and that AM colonization increased with soil pH while </w:t>
      </w:r>
      <w:proofErr w:type="spellStart"/>
      <w:r>
        <w:t>EcM</w:t>
      </w:r>
      <w:proofErr w:type="spellEnd"/>
      <w:r>
        <w:t xml:space="preserve"> colonization decreased (F(2, 299) = 3.67, p = 0.027), and AM colonization was greater with increased carbon cycling, while </w:t>
      </w:r>
      <w:proofErr w:type="spellStart"/>
      <w:r>
        <w:t>EcM</w:t>
      </w:r>
      <w:proofErr w:type="spellEnd"/>
      <w:r>
        <w:t xml:space="preserve"> colonization was greater with limited enzyme activity (F(2, 295.3) = 3.13, p = 0.045). Altogether, these results suggest that tree investment into root systems is interactively shaped by the availability of nutrients in the soil and the enzymatic capabilities of the mycorrhizal partner with </w:t>
      </w:r>
      <w:proofErr w:type="spellStart"/>
      <w:r>
        <w:t>EcM</w:t>
      </w:r>
      <w:proofErr w:type="spellEnd"/>
      <w:r>
        <w:t xml:space="preserve"> fungi facilitating nutrient access when nutrients would be otherwise locked in organic forms.</w:t>
      </w:r>
    </w:p>
    <w:p w14:paraId="7DAA8EB8" w14:textId="77777777" w:rsidR="000421CA" w:rsidRDefault="000421CA" w:rsidP="000421CA">
      <w:r>
        <w:br w:type="page"/>
      </w:r>
    </w:p>
    <w:p w14:paraId="13321FE8" w14:textId="2A05F8A8" w:rsidR="000421CA" w:rsidRDefault="00441698" w:rsidP="000421CA">
      <w:pPr>
        <w:spacing w:after="0"/>
      </w:pPr>
      <w:r>
        <w:rPr>
          <w:sz w:val="24"/>
        </w:rPr>
        <w:lastRenderedPageBreak/>
        <w:t>Boonshoft School of Medicine</w:t>
      </w:r>
    </w:p>
    <w:p w14:paraId="04FED2E3" w14:textId="42B3E527" w:rsidR="000421CA" w:rsidRDefault="000421CA" w:rsidP="000421CA">
      <w:pPr>
        <w:spacing w:after="240"/>
      </w:pPr>
    </w:p>
    <w:p w14:paraId="270599FD" w14:textId="77777777" w:rsidR="000421CA" w:rsidRDefault="000421CA" w:rsidP="000421CA">
      <w:pPr>
        <w:spacing w:after="0"/>
      </w:pPr>
      <w:r>
        <w:rPr>
          <w:sz w:val="24"/>
        </w:rPr>
        <w:t xml:space="preserve">Pharmacogenetic Role of APOE Genotyping in </w:t>
      </w:r>
      <w:proofErr w:type="spellStart"/>
      <w:r>
        <w:rPr>
          <w:sz w:val="24"/>
        </w:rPr>
        <w:t>Lecanemab</w:t>
      </w:r>
      <w:proofErr w:type="spellEnd"/>
      <w:r>
        <w:rPr>
          <w:sz w:val="24"/>
        </w:rPr>
        <w:t xml:space="preserve"> Therapy: Long-Term Safety and Efficacy Analysis from the Clarity AD Trial</w:t>
      </w:r>
    </w:p>
    <w:p w14:paraId="1CF152AF" w14:textId="700EBC53" w:rsidR="000421CA" w:rsidRDefault="000421CA" w:rsidP="000421CA">
      <w:pPr>
        <w:spacing w:after="0"/>
      </w:pPr>
      <w:r>
        <w:rPr>
          <w:sz w:val="24"/>
        </w:rPr>
        <w:t xml:space="preserve">Soni, Esha </w:t>
      </w:r>
      <w:proofErr w:type="spellStart"/>
      <w:r>
        <w:rPr>
          <w:sz w:val="24"/>
        </w:rPr>
        <w:t>Yogeshkumar</w:t>
      </w:r>
      <w:proofErr w:type="spellEnd"/>
    </w:p>
    <w:p w14:paraId="70FDB9E5" w14:textId="005BBF5B" w:rsidR="000421CA" w:rsidRDefault="000421CA" w:rsidP="000421CA">
      <w:pPr>
        <w:spacing w:after="240"/>
      </w:pPr>
      <w:r>
        <w:rPr>
          <w:sz w:val="24"/>
        </w:rPr>
        <w:t xml:space="preserve">Mentor: </w:t>
      </w:r>
      <w:proofErr w:type="spellStart"/>
      <w:r>
        <w:rPr>
          <w:sz w:val="24"/>
        </w:rPr>
        <w:t>Elased</w:t>
      </w:r>
      <w:proofErr w:type="spellEnd"/>
      <w:r>
        <w:rPr>
          <w:sz w:val="24"/>
        </w:rPr>
        <w:t>, Dr. Khalid</w:t>
      </w:r>
    </w:p>
    <w:p w14:paraId="50D17A7B" w14:textId="77777777" w:rsidR="000421CA" w:rsidRDefault="000421CA" w:rsidP="000421CA">
      <w:pPr>
        <w:spacing w:after="480"/>
      </w:pPr>
      <w:r>
        <w:t xml:space="preserve">Pharmacogenetic Role of APOE Genotyping in </w:t>
      </w:r>
      <w:proofErr w:type="spellStart"/>
      <w:r>
        <w:t>Lecanemab</w:t>
      </w:r>
      <w:proofErr w:type="spellEnd"/>
      <w:r>
        <w:t xml:space="preserve"> Therapy: Long-Term Safety and Efficacy Analysis from the Clarity AD Trial Background: </w:t>
      </w:r>
      <w:proofErr w:type="spellStart"/>
      <w:r>
        <w:t>Lecanemab</w:t>
      </w:r>
      <w:proofErr w:type="spellEnd"/>
      <w:r>
        <w:t xml:space="preserve"> is a humanized IgG1 monoclonal antibody that selectively binds soluble amyloid-beta protofibrils, marking the first disease-modifying agent to obtain traditional FDA approval for early-stage Alzheimer's disease (AD). The APOE genotype represents the most significant genetic determinant of AD risk and influences both disease progression and the tolerability of emerging anti-amyloid treatments. This analysis examines how APOE allele status affects </w:t>
      </w:r>
      <w:proofErr w:type="spellStart"/>
      <w:r>
        <w:t>lecanemab</w:t>
      </w:r>
      <w:proofErr w:type="spellEnd"/>
      <w:r>
        <w:t xml:space="preserve"> treatment outcomes in patients with mild cognitive impairment or mild dementia attributable to AD with biomarker-confirmed amyloid pathology, integrating extended Clarity AD trial data with current regulatory recommendations for APOE testing. Methods: Data from the Clarity AD Phase 3 study were evaluated, including the 18-month randomized Core phase and the Open-Label Extension (OLE) through 36 months. Participants with early AD were categorized by APOE genotype to evaluate long-term safety outcomes, particularly Amyloid-Related Imaging Abnormalities (ARIA), and efficacy measured by CDR-SB and amyloid PET imaging. Findings were interpreted within current pharmacogenetic recommendations (EMA, CPIC) for mandatory APOE testing for patient risk assessment. Results: A clear gene-dose relationship for safety was demonstrated: APOE ε4 homozygotes experienced ARIA-E (edema) at approximately 32.6% versus 5.4% in non-carriers. Nevertheless, ARIA episodes were transient and predominantly emerged within the initial 6 months of therapy. Critically, ARIA occurrence did not accelerate clinical decline. Treatment benefits persisted through 36 months, with early-start participants retaining clinical advantages relative to the delayed-start cohort. Notably, patients with lower pathological burden (reduced tau/amyloid) demonstrated disease stabilization or clinical improvement throughout the observation period. Conclusion: While APOE ε4 homozygosity substantially elevates ARIA risk, it does not diminish </w:t>
      </w:r>
      <w:proofErr w:type="spellStart"/>
      <w:r>
        <w:t>lecanemab's</w:t>
      </w:r>
      <w:proofErr w:type="spellEnd"/>
      <w:r>
        <w:t xml:space="preserve"> long-term disease-modifying benefits. APOE genotyping has evolved from a research tool to an essential pharmacogenomic element of personalized AD management. Routine APOE testing is now critical for identifying high-risk homozygotes, facilitating informed consent, and implementing rigorous MRI monitoring during the early treatment period.</w:t>
      </w:r>
    </w:p>
    <w:p w14:paraId="0F5496EE" w14:textId="77777777" w:rsidR="000421CA" w:rsidRDefault="000421CA" w:rsidP="000421CA">
      <w:r>
        <w:br w:type="page"/>
      </w:r>
    </w:p>
    <w:p w14:paraId="3B2EDE8F" w14:textId="1AA6CC09" w:rsidR="000421CA" w:rsidRDefault="00004C7D" w:rsidP="000421CA">
      <w:pPr>
        <w:spacing w:after="0"/>
      </w:pPr>
      <w:r>
        <w:rPr>
          <w:sz w:val="24"/>
        </w:rPr>
        <w:lastRenderedPageBreak/>
        <w:t>College of Science and Mathematics</w:t>
      </w:r>
    </w:p>
    <w:p w14:paraId="41AFE67C" w14:textId="7239F702" w:rsidR="000421CA" w:rsidRDefault="000421CA" w:rsidP="000421CA">
      <w:pPr>
        <w:spacing w:after="240"/>
      </w:pPr>
    </w:p>
    <w:p w14:paraId="1429FE63" w14:textId="77777777" w:rsidR="000421CA" w:rsidRDefault="000421CA" w:rsidP="000421CA">
      <w:pPr>
        <w:spacing w:after="0"/>
      </w:pPr>
      <w:r>
        <w:rPr>
          <w:sz w:val="24"/>
        </w:rPr>
        <w:t>Microscopic Worlds</w:t>
      </w:r>
    </w:p>
    <w:p w14:paraId="2A10DF8D" w14:textId="7B7A8CC8" w:rsidR="000421CA" w:rsidRDefault="000421CA" w:rsidP="000421CA">
      <w:pPr>
        <w:spacing w:after="0"/>
      </w:pPr>
      <w:r>
        <w:rPr>
          <w:sz w:val="24"/>
        </w:rPr>
        <w:t>Steele, Raegan</w:t>
      </w:r>
    </w:p>
    <w:p w14:paraId="645CF7EA" w14:textId="2777C26E" w:rsidR="000421CA" w:rsidRDefault="000421CA" w:rsidP="000421CA">
      <w:pPr>
        <w:spacing w:after="240"/>
      </w:pPr>
      <w:r>
        <w:rPr>
          <w:sz w:val="24"/>
        </w:rPr>
        <w:t>Mentor: Ketter, Alycia</w:t>
      </w:r>
    </w:p>
    <w:p w14:paraId="5D9FC816" w14:textId="77777777" w:rsidR="000421CA" w:rsidRDefault="000421CA" w:rsidP="000421CA">
      <w:pPr>
        <w:spacing w:after="480"/>
      </w:pPr>
      <w:r>
        <w:t>Histology is most often approached for its scientific and diagnostic significance, yet its microscopic views also reveal remarkably vivid patterns, textures, and color relationships that invite artistic interpretation. This project presents a curated exhibit of original paintings derived from histological imagery and microscopic anatomy. The central aim is to bridge art and science in a manner that makes microscopic anatomy more visually engaging and broadly accessible.</w:t>
      </w:r>
    </w:p>
    <w:p w14:paraId="55CBEC67" w14:textId="77777777" w:rsidR="000421CA" w:rsidRDefault="000421CA" w:rsidP="000421CA">
      <w:r>
        <w:br w:type="page"/>
      </w:r>
    </w:p>
    <w:p w14:paraId="0B39014A" w14:textId="3FD48026" w:rsidR="000421CA" w:rsidRDefault="00820D98" w:rsidP="000421CA">
      <w:pPr>
        <w:spacing w:after="0"/>
      </w:pPr>
      <w:r>
        <w:rPr>
          <w:sz w:val="24"/>
        </w:rPr>
        <w:lastRenderedPageBreak/>
        <w:t>College of Engineering and Computer Science</w:t>
      </w:r>
    </w:p>
    <w:p w14:paraId="24F32D81" w14:textId="1E3D5A96" w:rsidR="000421CA" w:rsidRDefault="000421CA" w:rsidP="000421CA">
      <w:pPr>
        <w:spacing w:after="240"/>
      </w:pPr>
    </w:p>
    <w:p w14:paraId="58FF4B24" w14:textId="77777777" w:rsidR="000421CA" w:rsidRDefault="000421CA" w:rsidP="000421CA">
      <w:pPr>
        <w:spacing w:after="0"/>
      </w:pPr>
      <w:r>
        <w:rPr>
          <w:sz w:val="24"/>
        </w:rPr>
        <w:t>Controlled Language for Representing Knowledge</w:t>
      </w:r>
    </w:p>
    <w:p w14:paraId="54F29106" w14:textId="66FCBEBA" w:rsidR="000421CA" w:rsidRDefault="000421CA" w:rsidP="000421CA">
      <w:pPr>
        <w:spacing w:after="0"/>
      </w:pPr>
      <w:r>
        <w:rPr>
          <w:sz w:val="24"/>
        </w:rPr>
        <w:t>Sunar, Sumit</w:t>
      </w:r>
    </w:p>
    <w:p w14:paraId="78B27110" w14:textId="092DE1CE" w:rsidR="000421CA" w:rsidRDefault="000421CA" w:rsidP="000421CA">
      <w:pPr>
        <w:spacing w:after="240"/>
      </w:pPr>
      <w:r>
        <w:rPr>
          <w:sz w:val="24"/>
        </w:rPr>
        <w:t>Mentor: Shimizu, Cogan</w:t>
      </w:r>
    </w:p>
    <w:p w14:paraId="70A86381" w14:textId="77777777" w:rsidR="000421CA" w:rsidRDefault="000421CA" w:rsidP="000421CA">
      <w:pPr>
        <w:spacing w:after="480"/>
      </w:pPr>
      <w:r>
        <w:t>Ambiguity in natural language has always been a major challenge for knowledge representation and ontology engineering, as implicit meanings, contextual dependencies, and unbounded lexical structures often lead to inconsistent interpretations.  Controlled Language for Representing Knowledge (</w:t>
      </w:r>
      <w:proofErr w:type="spellStart"/>
      <w:r>
        <w:t>CLaRK</w:t>
      </w:r>
      <w:proofErr w:type="spellEnd"/>
      <w:r>
        <w:t xml:space="preserve">) addresses this problem by applying the principles of Controlled Natural Languages (CNLs), specifically </w:t>
      </w:r>
      <w:proofErr w:type="spellStart"/>
      <w:r>
        <w:t>Attempto</w:t>
      </w:r>
      <w:proofErr w:type="spellEnd"/>
      <w:r>
        <w:t xml:space="preserve"> Controlled English (ACE). The goal is to map ambiguous natural languages to syntactically constrained yet semantically deterministic representations in first-order logic.  The work combines large language models with ACE-compliant prompting strategies and validation using the </w:t>
      </w:r>
      <w:proofErr w:type="spellStart"/>
      <w:r>
        <w:t>Attempto</w:t>
      </w:r>
      <w:proofErr w:type="spellEnd"/>
      <w:r>
        <w:t xml:space="preserve"> Parsing Engine to systematically transform complex statements into clear and unambiguous forms that can be understood by machines. The iterative validation process can also involve the decomposition of statements, the identification of hidden assumptions, and the preservation of intended meanings while maintaining logical correctness. The validated representations can then be used for translating into formal representations such as Discourse Representation Structures, OWL ontologies, and SWRL rules. The formal representations can then be used for designing ontologies, checking consistency, and reasoning.  Through the alignment of textual knowledge with clear logical structures instead of ambiguous natural language, the proposed framework enables better semantic clarity, improves retrieval accuracy, and facilitates reliable knowledge integration within hybrid reasoning pipelines. This, in turn, validates the use of controlled natural language as a bridge between natural language expression and formal ontology-based knowledge representation.</w:t>
      </w:r>
    </w:p>
    <w:p w14:paraId="06FE2CE6" w14:textId="77777777" w:rsidR="000421CA" w:rsidRDefault="000421CA" w:rsidP="000421CA">
      <w:r>
        <w:br w:type="page"/>
      </w:r>
    </w:p>
    <w:p w14:paraId="600D2FB8" w14:textId="335239CD" w:rsidR="000421CA" w:rsidRDefault="00820D98" w:rsidP="000421CA">
      <w:pPr>
        <w:spacing w:after="0"/>
      </w:pPr>
      <w:r>
        <w:rPr>
          <w:sz w:val="24"/>
        </w:rPr>
        <w:lastRenderedPageBreak/>
        <w:t>College of Engineering and Computer Science</w:t>
      </w:r>
    </w:p>
    <w:p w14:paraId="74ECA093" w14:textId="17A08A70" w:rsidR="000421CA" w:rsidRDefault="000421CA" w:rsidP="000421CA">
      <w:pPr>
        <w:spacing w:after="240"/>
      </w:pPr>
    </w:p>
    <w:p w14:paraId="0719965B" w14:textId="77777777" w:rsidR="000421CA" w:rsidRDefault="000421CA" w:rsidP="000421CA">
      <w:pPr>
        <w:spacing w:after="0"/>
      </w:pPr>
      <w:r>
        <w:rPr>
          <w:sz w:val="24"/>
        </w:rPr>
        <w:t>Synthetic Biological Data Generation in the Low-Data Regime via Denoising Diffusion Probabilistic Models.</w:t>
      </w:r>
    </w:p>
    <w:p w14:paraId="7BA9DAE6" w14:textId="34282E3B" w:rsidR="000421CA" w:rsidRDefault="000421CA" w:rsidP="000421CA">
      <w:pPr>
        <w:spacing w:after="0"/>
      </w:pPr>
      <w:r>
        <w:rPr>
          <w:sz w:val="24"/>
        </w:rPr>
        <w:t>Surineela, Sai Vijay Kumar</w:t>
      </w:r>
    </w:p>
    <w:p w14:paraId="3E3FB273" w14:textId="048249C1" w:rsidR="000421CA" w:rsidRDefault="000421CA" w:rsidP="000421CA">
      <w:pPr>
        <w:spacing w:after="240"/>
      </w:pPr>
      <w:r>
        <w:rPr>
          <w:sz w:val="24"/>
        </w:rPr>
        <w:t xml:space="preserve">Mentor: Ghosh, </w:t>
      </w:r>
      <w:proofErr w:type="spellStart"/>
      <w:r>
        <w:rPr>
          <w:sz w:val="24"/>
        </w:rPr>
        <w:t>Tomojit</w:t>
      </w:r>
      <w:proofErr w:type="spellEnd"/>
    </w:p>
    <w:p w14:paraId="2CADBA39" w14:textId="77777777" w:rsidR="000421CA" w:rsidRDefault="000421CA" w:rsidP="000421CA">
      <w:pPr>
        <w:spacing w:after="480"/>
      </w:pPr>
      <w:r>
        <w:t>High-dimensional, low-sample-size (HDLSS) biological datasets present significant challenges for generative modeling. Gene expression data, for example, often contain thousands of features while being limited to a relatively small number of samples due to experimental cost, restricted patient cohorts, and rare disease settings. In such regimes, learning stable and reliable data distributions becomes difficult, particularly when training directly in the original high-dimensional feature space where sparsity and noise complexity are amplified.  This work investigates the feasibility of applying Denoising Diffusion Probabilistic Models (DDPMs) for synthetic biological data generation under HDLSS constraints. We examine diffusion modeling in the original feature space and compare it with modeling in a reduced-dimensional space obtained through dimensionality reduction. By analyzing training behavior across these settings, this study aims to better understand how dimensionality affects stability and learning dynamics in diffusion-based generative modeling for high-dimensional biological data.</w:t>
      </w:r>
    </w:p>
    <w:p w14:paraId="1FCDEB62" w14:textId="77777777" w:rsidR="000421CA" w:rsidRDefault="000421CA" w:rsidP="000421CA">
      <w:r>
        <w:br w:type="page"/>
      </w:r>
    </w:p>
    <w:p w14:paraId="39CBDDCD" w14:textId="785F182E" w:rsidR="000421CA" w:rsidRDefault="00820D98" w:rsidP="000421CA">
      <w:pPr>
        <w:spacing w:after="0"/>
      </w:pPr>
      <w:r>
        <w:rPr>
          <w:sz w:val="24"/>
        </w:rPr>
        <w:lastRenderedPageBreak/>
        <w:t>College of Engineering and Computer Science</w:t>
      </w:r>
    </w:p>
    <w:p w14:paraId="5D08DB16" w14:textId="1D475B72" w:rsidR="000421CA" w:rsidRDefault="000421CA" w:rsidP="000421CA">
      <w:pPr>
        <w:spacing w:after="240"/>
      </w:pPr>
    </w:p>
    <w:p w14:paraId="518F9103" w14:textId="77777777" w:rsidR="000421CA" w:rsidRDefault="000421CA" w:rsidP="000421CA">
      <w:pPr>
        <w:spacing w:after="0"/>
      </w:pPr>
      <w:r>
        <w:rPr>
          <w:sz w:val="24"/>
        </w:rPr>
        <w:t>Predicting Harmful Algal Bloom Likelihood with Supervised Machine Learning</w:t>
      </w:r>
    </w:p>
    <w:p w14:paraId="0BBB138F" w14:textId="21E1E079" w:rsidR="000421CA" w:rsidRDefault="000421CA" w:rsidP="000421CA">
      <w:pPr>
        <w:spacing w:after="0"/>
      </w:pPr>
      <w:r>
        <w:rPr>
          <w:sz w:val="24"/>
        </w:rPr>
        <w:t>Taylor, Rose L</w:t>
      </w:r>
    </w:p>
    <w:p w14:paraId="22EA04E8" w14:textId="716D5739" w:rsidR="000421CA" w:rsidRDefault="000421CA" w:rsidP="000421CA">
      <w:pPr>
        <w:spacing w:after="240"/>
      </w:pPr>
      <w:r>
        <w:rPr>
          <w:sz w:val="24"/>
        </w:rPr>
        <w:t>Mentor: Shimizu, Cogan</w:t>
      </w:r>
    </w:p>
    <w:p w14:paraId="06CAF55A" w14:textId="26B2327B" w:rsidR="000421CA" w:rsidRDefault="000421CA" w:rsidP="000421CA">
      <w:pPr>
        <w:spacing w:after="480"/>
      </w:pPr>
      <w:r>
        <w:t xml:space="preserve">Harmful algal bloom monitoring has traditionally relied on individual water-quality indicators evaluated against fixed thresholds. While simple, this strategy usually identifies blooms only after they are already well established, limiting the time available for prevention or mitigation. In many lakes and reservoirs, water-quality variables tend to move together in stable patterns of multivariate coupling, and growing evidence suggests that these relationships begin to break down before a bloom becomes visible. Tracking when and how this coupling changes offers a way to recognize early warning signs. However, this approach depends on having enough historical data to define normal system behavior and must account for </w:t>
      </w:r>
      <w:r w:rsidR="00103048">
        <w:t>nonstationary</w:t>
      </w:r>
      <w:r>
        <w:t>, where background conditions shift over time due to climate, land use, or other external pressures. Future work should explore how well these patterns transfer between similar sites and how such signals can be reliably used for real-time monitoring.</w:t>
      </w:r>
    </w:p>
    <w:p w14:paraId="33333299" w14:textId="77777777" w:rsidR="000421CA" w:rsidRDefault="000421CA" w:rsidP="000421CA">
      <w:r>
        <w:br w:type="page"/>
      </w:r>
    </w:p>
    <w:p w14:paraId="4E28D433" w14:textId="4A619BC6" w:rsidR="000421CA" w:rsidRDefault="00004C7D" w:rsidP="000421CA">
      <w:pPr>
        <w:spacing w:after="0"/>
      </w:pPr>
      <w:r>
        <w:rPr>
          <w:sz w:val="24"/>
        </w:rPr>
        <w:lastRenderedPageBreak/>
        <w:t>College of Science and Mathematics</w:t>
      </w:r>
    </w:p>
    <w:p w14:paraId="0F618059" w14:textId="27E2E22B" w:rsidR="000421CA" w:rsidRDefault="000421CA" w:rsidP="000421CA">
      <w:pPr>
        <w:spacing w:after="240"/>
      </w:pPr>
    </w:p>
    <w:p w14:paraId="5F5823A1" w14:textId="77777777" w:rsidR="000421CA" w:rsidRDefault="000421CA" w:rsidP="000421CA">
      <w:pPr>
        <w:spacing w:after="0"/>
      </w:pPr>
      <w:r>
        <w:rPr>
          <w:sz w:val="24"/>
        </w:rPr>
        <w:t xml:space="preserve">Comparison of image segmentation using voxel-level data by </w:t>
      </w:r>
      <w:proofErr w:type="spellStart"/>
      <w:r>
        <w:rPr>
          <w:sz w:val="24"/>
        </w:rPr>
        <w:t>Matlab</w:t>
      </w:r>
      <w:proofErr w:type="spellEnd"/>
      <w:r>
        <w:rPr>
          <w:sz w:val="24"/>
        </w:rPr>
        <w:t xml:space="preserve"> and Mimics</w:t>
      </w:r>
    </w:p>
    <w:p w14:paraId="535BC1F6" w14:textId="34F70BD0" w:rsidR="000421CA" w:rsidRDefault="000421CA" w:rsidP="000421CA">
      <w:pPr>
        <w:spacing w:after="0"/>
      </w:pPr>
      <w:r>
        <w:rPr>
          <w:sz w:val="24"/>
        </w:rPr>
        <w:t>Thakur, Devang Nilesh</w:t>
      </w:r>
    </w:p>
    <w:p w14:paraId="022CD87B" w14:textId="048D0588" w:rsidR="000421CA" w:rsidRDefault="000421CA" w:rsidP="000421CA">
      <w:pPr>
        <w:spacing w:after="240"/>
      </w:pPr>
      <w:r>
        <w:rPr>
          <w:sz w:val="24"/>
        </w:rPr>
        <w:t>Mentor: Goswami, Dr. Tarun</w:t>
      </w:r>
    </w:p>
    <w:p w14:paraId="0D799F8F" w14:textId="77777777" w:rsidR="000421CA" w:rsidRDefault="000421CA" w:rsidP="000421CA">
      <w:pPr>
        <w:spacing w:after="480"/>
      </w:pPr>
      <w:r>
        <w:t xml:space="preserve">Structural MRI studies rely on turning 2D pixel data into 3D voxels, and that conversion plays a major role in how accurately brain regions can be segmented. Small differences in voxel size or slice spacing can shift volume estimates, especially in structures that change early in aging, like the hippocampus and cortex. This project examines how voxel‑based segmentation using MATLAB (SPM12 with CAT12) compares with a more manual, surface‑oriented workflow in </w:t>
      </w:r>
      <w:proofErr w:type="spellStart"/>
      <w:r>
        <w:t>Materialise</w:t>
      </w:r>
      <w:proofErr w:type="spellEnd"/>
      <w:r>
        <w:t xml:space="preserve"> Mimics. T1‑weighted MPRAGE scans from the Alzheimer’s Disease Neuroimaging Initiative (ADNI) were used, acquired at a native resolution of 0.94 × 0.94 × 1.20 mm with a 1.2‑mm slice gap. CAT12 internally resampled these images to roughly 0.5‑mm isotropic voxels, which improves boundary detection but also changes how tissue volumes are calculated.  CAT12 produced detailed quantitative outputs, including gray matter volume (438 cm³), white matter volume (415 cm³), cerebrospinal fluid volume (180 cm³), total intracranial volume (1033 cm³), and a mean cortical thickness of 1.65 ± 0.47 mm. Quality metrics showed strong preprocessing performance, with a bias rating of 92%, noise at 89.89%, and a defect area of only 0.69%. Across the dataset, hippocampal volume declined by 12–18%, cortical thickness decreased by 8–15%, and ventricle volume increased by 14–20%. These changes match patterns commonly reported in voxel‑based morphometry studies of aging and early Alzheimer’s disease, where hippocampal atrophy and ventricular enlargement are early indicators of neurodegeneration.  Most published studies compare segmentation pipelines within voxel‑based software, such as SPM, FSL, or </w:t>
      </w:r>
      <w:proofErr w:type="spellStart"/>
      <w:r>
        <w:t>FreeSurfer</w:t>
      </w:r>
      <w:proofErr w:type="spellEnd"/>
      <w:r>
        <w:t>. This project differs by directly comparing a voxel‑driven method (CAT12) with a CAD‑style segmentation tool (Mimics), highlighting how voxel resolution, slice spacing, and segmentation strategy influence quantitative biomarkers. Understanding these differences is important for interpreting structural MRI results and choosing appropriate tools in neuroscience research.</w:t>
      </w:r>
    </w:p>
    <w:p w14:paraId="0DEADF43" w14:textId="77777777" w:rsidR="000421CA" w:rsidRDefault="000421CA" w:rsidP="000421CA">
      <w:r>
        <w:br w:type="page"/>
      </w:r>
    </w:p>
    <w:p w14:paraId="0683BB33" w14:textId="02E8E2AD" w:rsidR="000421CA" w:rsidRDefault="00820D98" w:rsidP="000421CA">
      <w:pPr>
        <w:spacing w:after="0"/>
      </w:pPr>
      <w:r>
        <w:rPr>
          <w:sz w:val="24"/>
        </w:rPr>
        <w:lastRenderedPageBreak/>
        <w:t>College of Engineering and Computer Science</w:t>
      </w:r>
    </w:p>
    <w:p w14:paraId="06B14D4D" w14:textId="02BD3C18" w:rsidR="000421CA" w:rsidRDefault="000421CA" w:rsidP="000421CA">
      <w:pPr>
        <w:spacing w:after="240"/>
      </w:pPr>
    </w:p>
    <w:p w14:paraId="264AC87A" w14:textId="77777777" w:rsidR="000421CA" w:rsidRDefault="000421CA" w:rsidP="000421CA">
      <w:pPr>
        <w:spacing w:after="0"/>
      </w:pPr>
      <w:r>
        <w:rPr>
          <w:sz w:val="24"/>
        </w:rPr>
        <w:t>Dynamic Compressive Behavior and Strain-Rate Sensitivity of SLS-Printed PA12 and PA12-GF Composites Across Multiple Orientations</w:t>
      </w:r>
    </w:p>
    <w:p w14:paraId="1DF9B7A8" w14:textId="103CF659" w:rsidR="000421CA" w:rsidRDefault="000421CA" w:rsidP="000421CA">
      <w:pPr>
        <w:spacing w:after="0"/>
      </w:pPr>
      <w:r>
        <w:rPr>
          <w:sz w:val="24"/>
        </w:rPr>
        <w:t>Thapa, Jeet</w:t>
      </w:r>
    </w:p>
    <w:p w14:paraId="10075883" w14:textId="0DC3729A" w:rsidR="000421CA" w:rsidRDefault="000421CA" w:rsidP="000421CA">
      <w:pPr>
        <w:spacing w:after="240"/>
      </w:pPr>
      <w:r>
        <w:rPr>
          <w:sz w:val="24"/>
        </w:rPr>
        <w:t>Mentor: Mian, Ahsan</w:t>
      </w:r>
    </w:p>
    <w:p w14:paraId="04DB6113" w14:textId="77777777" w:rsidR="000421CA" w:rsidRDefault="000421CA" w:rsidP="000421CA">
      <w:pPr>
        <w:spacing w:after="480"/>
      </w:pPr>
      <w:r>
        <w:t xml:space="preserve">Polyamide 12 (PA12) and its glass-filled composite (PA12-GF) are widely used in Selective Laser Sintering (SLS), but their mechanical performance relies heavily on print parameters and loading speeds. This study examines how several possible build orientations affect the compressive behavior of parts printed on a </w:t>
      </w:r>
      <w:proofErr w:type="spellStart"/>
      <w:r>
        <w:t>Formlabs</w:t>
      </w:r>
      <w:proofErr w:type="spellEnd"/>
      <w:r>
        <w:t xml:space="preserve"> Fuse 1. Cylindrical ASTM D695 specimens were tested across a range of strain rates (0.01 s ¹ to 5 s ¹) to track changes in yield stress, compressive modulus, and overall strain-rate sensitivity. To explain these mechanical results microscopically, the tested samples underwent cryogenic fracturing to cleanly expose their internal structures for FE-SEM and EDS analysis. Backscattered Electron (BED-C) imaging captured the shape and dispersion of the glass fillers. ImageJ measurements of the bead diameters showed a non-uniform size distribution, a characteristic that promotes dense packing within the composite. Additionally, EDS verified the filler as Soda-Lime glass (predominantly Si and O at ≈70% weight), with inclusion of some other elements like Sodium, Magnesium, Calcium, etc. Finally, X-ray Diffraction (XRD) revealed that double-peaked of α (alpha) phases shown for raw powder is transformed into a single higher peak γ (gamma) phase because of the thermal history inside the SLS printing, which is more stable and so this structural shifting helps the printed parts resist aging and maintain long-term integrity. Mechanically, pure PA12 stiffened rapidly under high strain rates—particularly in diagonal builds—because the polymer chains lacked time to rearrange. In contrast, the glass fillers in PA12-GF acted as a structural shield. This reinforcement increased baseline stiffness and dampened rate sensitivity, successfully preventing the chaotic stiffness fluctuations seen in the unreinforced nylon across different print orientations.</w:t>
      </w:r>
    </w:p>
    <w:p w14:paraId="6F27D451" w14:textId="77777777" w:rsidR="000421CA" w:rsidRDefault="000421CA" w:rsidP="000421CA">
      <w:r>
        <w:br w:type="page"/>
      </w:r>
    </w:p>
    <w:p w14:paraId="66090D07" w14:textId="65D3AB12" w:rsidR="000421CA" w:rsidRDefault="00004C7D" w:rsidP="000421CA">
      <w:pPr>
        <w:spacing w:after="0"/>
      </w:pPr>
      <w:r>
        <w:rPr>
          <w:sz w:val="24"/>
        </w:rPr>
        <w:lastRenderedPageBreak/>
        <w:t>College of Science and Mathematics</w:t>
      </w:r>
    </w:p>
    <w:p w14:paraId="0517982C" w14:textId="77777777" w:rsidR="00E7231A" w:rsidRDefault="00E7231A" w:rsidP="000421CA">
      <w:pPr>
        <w:spacing w:after="240"/>
        <w:rPr>
          <w:sz w:val="24"/>
        </w:rPr>
      </w:pPr>
    </w:p>
    <w:p w14:paraId="1E3091C4" w14:textId="77777777" w:rsidR="000421CA" w:rsidRDefault="000421CA" w:rsidP="000421CA">
      <w:pPr>
        <w:spacing w:after="0"/>
      </w:pPr>
      <w:r>
        <w:rPr>
          <w:sz w:val="24"/>
        </w:rPr>
        <w:t>Anatomical Brain Changes in Alzheimer's Disease: A Longitudinal Morphometry Perspective</w:t>
      </w:r>
    </w:p>
    <w:p w14:paraId="4854C838" w14:textId="41D2619C" w:rsidR="000421CA" w:rsidRDefault="000421CA" w:rsidP="000421CA">
      <w:pPr>
        <w:spacing w:after="0"/>
      </w:pPr>
      <w:r>
        <w:rPr>
          <w:sz w:val="24"/>
        </w:rPr>
        <w:t>Thompson, Charles Ian</w:t>
      </w:r>
    </w:p>
    <w:p w14:paraId="7791F923" w14:textId="3EF76D79" w:rsidR="000421CA" w:rsidRDefault="000421CA" w:rsidP="000421CA">
      <w:pPr>
        <w:spacing w:after="240"/>
      </w:pPr>
      <w:r>
        <w:rPr>
          <w:sz w:val="24"/>
        </w:rPr>
        <w:t>Mentor: Goswami, Tarun</w:t>
      </w:r>
    </w:p>
    <w:p w14:paraId="360FAA07" w14:textId="77777777" w:rsidR="000421CA" w:rsidRDefault="000421CA" w:rsidP="000421CA">
      <w:pPr>
        <w:spacing w:after="480"/>
      </w:pPr>
      <w:r>
        <w:t>Alzheimer’s disease (AD) is a neurodegenerative disease characterized by structural changes in brain morphology throughout its progression. Structural magnetic resonance imaging (MRI) can help provide clinicians with quantifiable biomarkers and determine anatomical susceptibility across preclinical, mild cognitive impairment (MCI), and clinical AD stages. Therefore, a longitudinal framework can help characterize the temporal patterns and magnitude of neurodegeneration associated with AD.  The goal is to provide longitudinal evidence that describes anatomical brain changes throughout AD progression. Emphasis will be placed on peer-reviewed MRI studies of anatomically relevant regions, including the hippocampus, entorhinal cortex, medial temporal lobe, and temporoparietal association areas. Key parameters will include gray and white matter volume, regional cortical thickness, brain parenchymal fraction, and ventricular expansion. Integrating anatomical insight with morphometric data will help summarize the structural progression of AD.  Approaching AD from both a longitudinal and structural MRI perspective underscores the significance of measurable anatomical changes in AD. This may help in monitoring strategies, detection methods, and diagnostic protocols.</w:t>
      </w:r>
    </w:p>
    <w:p w14:paraId="11FAA131" w14:textId="77777777" w:rsidR="000421CA" w:rsidRDefault="000421CA" w:rsidP="000421CA">
      <w:r>
        <w:br w:type="page"/>
      </w:r>
    </w:p>
    <w:p w14:paraId="570695B0" w14:textId="7C3B179E" w:rsidR="000421CA" w:rsidRDefault="00004C7D" w:rsidP="000421CA">
      <w:pPr>
        <w:spacing w:after="0"/>
      </w:pPr>
      <w:r>
        <w:rPr>
          <w:sz w:val="24"/>
        </w:rPr>
        <w:lastRenderedPageBreak/>
        <w:t>College of Liberal Arts</w:t>
      </w:r>
    </w:p>
    <w:p w14:paraId="32A96651" w14:textId="3ED5F963" w:rsidR="000421CA" w:rsidRDefault="000421CA" w:rsidP="000421CA">
      <w:pPr>
        <w:spacing w:after="240"/>
      </w:pPr>
    </w:p>
    <w:p w14:paraId="18A67149" w14:textId="77777777" w:rsidR="000421CA" w:rsidRDefault="000421CA" w:rsidP="000421CA">
      <w:pPr>
        <w:spacing w:after="0"/>
      </w:pPr>
      <w:r>
        <w:rPr>
          <w:sz w:val="24"/>
        </w:rPr>
        <w:t>Paulina as Feminine Power: The Representation of Paulina in the 2025 Stratford Festival Production of The Winter’s Tale</w:t>
      </w:r>
    </w:p>
    <w:p w14:paraId="4454B8B7" w14:textId="2F026654" w:rsidR="000421CA" w:rsidRDefault="000421CA" w:rsidP="000421CA">
      <w:pPr>
        <w:spacing w:after="0"/>
      </w:pPr>
      <w:r>
        <w:rPr>
          <w:sz w:val="24"/>
        </w:rPr>
        <w:t>Thompson, Hannah Elyse</w:t>
      </w:r>
    </w:p>
    <w:p w14:paraId="013F0AFE" w14:textId="0A1C748B" w:rsidR="000421CA" w:rsidRDefault="000421CA" w:rsidP="000421CA">
      <w:pPr>
        <w:spacing w:after="240"/>
      </w:pPr>
      <w:r>
        <w:rPr>
          <w:sz w:val="24"/>
        </w:rPr>
        <w:t>Mentor: Lamoine, Jean-Michel</w:t>
      </w:r>
    </w:p>
    <w:p w14:paraId="6A9562D3" w14:textId="77777777" w:rsidR="000421CA" w:rsidRDefault="000421CA" w:rsidP="000421CA">
      <w:pPr>
        <w:spacing w:after="480"/>
      </w:pPr>
      <w:r>
        <w:t xml:space="preserve">When The Winter’s Tale was first performed in 1611, Shakespeare’s audience would have been familiar with Robert Greene’s popular romance </w:t>
      </w:r>
      <w:proofErr w:type="spellStart"/>
      <w:r>
        <w:t>Pandosto</w:t>
      </w:r>
      <w:proofErr w:type="spellEnd"/>
      <w:r>
        <w:t>. Due to this familiarity, audiences would have been surprised by the introduction of Shakespeare’s original character, Paulina. While remaining similar to the original narrative, there is great significance to this new character, who is secondary to only Leontes in line distribution. This research aims to highlight the strength of character observed in Paulina and evaluate how she is portrayed in the 2025 Stratford Festival production of The Winter’s Tale, with emphasis on black feminine power. A close reading of Shakespeare’s text will serve as the primary source for demonstrating the nature of Paulina. The other primary source will be the performance of The Winter’s Tale as it was on August 9th, 2025, at the Stratford Festival in Ontario, Canada with particular attention to the work of actress Yanna McIntosh as Paulina. Secondary sources are used to introduce the feminist quality of Shakespeare’s late play, understand the role of Paulina, reflect on past performances of the play, and to discuss the portrayal of black women in media. This research argues that the casting of Yanna McIntosh as Paulina, with her commanding performance, is a service to the character, to Shakespeare’s intentions, and to the representation of black women in media. Ultimately, this research will suggest future productions of Shakespearean work should utilize conceptual casting to accurately reflect the beauty and diversity of Western society.</w:t>
      </w:r>
    </w:p>
    <w:p w14:paraId="7FFD2D77" w14:textId="77777777" w:rsidR="000421CA" w:rsidRDefault="000421CA" w:rsidP="000421CA">
      <w:r>
        <w:br w:type="page"/>
      </w:r>
    </w:p>
    <w:p w14:paraId="2EC61A5A" w14:textId="090980F3" w:rsidR="000421CA" w:rsidRDefault="00441698" w:rsidP="000421CA">
      <w:pPr>
        <w:spacing w:after="0"/>
      </w:pPr>
      <w:r>
        <w:rPr>
          <w:sz w:val="24"/>
        </w:rPr>
        <w:lastRenderedPageBreak/>
        <w:t>Boonshoft School of Medicine</w:t>
      </w:r>
    </w:p>
    <w:p w14:paraId="00EDCCBC" w14:textId="1958DAC8" w:rsidR="000421CA" w:rsidRDefault="000421CA" w:rsidP="000421CA">
      <w:pPr>
        <w:spacing w:after="240"/>
      </w:pPr>
    </w:p>
    <w:p w14:paraId="08324F53" w14:textId="77777777" w:rsidR="000421CA" w:rsidRDefault="000421CA" w:rsidP="000421CA">
      <w:pPr>
        <w:spacing w:after="0"/>
      </w:pPr>
      <w:r>
        <w:rPr>
          <w:sz w:val="24"/>
        </w:rPr>
        <w:t>Utilization of Rapid Genotyping in Preventing Aminoglycoside-Induced Ototoxicity in Neonates</w:t>
      </w:r>
    </w:p>
    <w:p w14:paraId="0D19C519" w14:textId="2C2983F4" w:rsidR="000421CA" w:rsidRDefault="000421CA" w:rsidP="000421CA">
      <w:pPr>
        <w:spacing w:after="0"/>
      </w:pPr>
      <w:r>
        <w:rPr>
          <w:sz w:val="24"/>
        </w:rPr>
        <w:t xml:space="preserve">Timsina, </w:t>
      </w:r>
      <w:proofErr w:type="spellStart"/>
      <w:r>
        <w:rPr>
          <w:sz w:val="24"/>
        </w:rPr>
        <w:t>Sakchhyam</w:t>
      </w:r>
      <w:proofErr w:type="spellEnd"/>
    </w:p>
    <w:p w14:paraId="30AB0E6C" w14:textId="4FB7F7AA" w:rsidR="000421CA" w:rsidRDefault="000421CA" w:rsidP="000421CA">
      <w:pPr>
        <w:spacing w:after="240"/>
      </w:pPr>
      <w:r>
        <w:rPr>
          <w:sz w:val="24"/>
        </w:rPr>
        <w:t xml:space="preserve">Mentor: </w:t>
      </w:r>
      <w:proofErr w:type="spellStart"/>
      <w:r>
        <w:rPr>
          <w:sz w:val="24"/>
        </w:rPr>
        <w:t>Elased</w:t>
      </w:r>
      <w:proofErr w:type="spellEnd"/>
      <w:r>
        <w:rPr>
          <w:sz w:val="24"/>
        </w:rPr>
        <w:t>, Khalid</w:t>
      </w:r>
    </w:p>
    <w:p w14:paraId="2D5523DF" w14:textId="77777777" w:rsidR="000421CA" w:rsidRDefault="000421CA" w:rsidP="000421CA">
      <w:pPr>
        <w:spacing w:after="480"/>
      </w:pPr>
      <w:r>
        <w:t>Background: Aminoglycosides are commonly prescribed antibiotics for neonatal sepsis, typically administered with ampicillin as first-line empirical therapy. Neonates carrying the mitochondrial MT-RNR1 m.1555A&gt;G variant are at high risk of profound irreversible aminoglycoside induced ototoxicity, even after a single dose.  The variant causes conformational changes in mitochondrial 12S ribosomal RNA, increasing aminoglycoside binding affinity, and leading to inner ear hair cell damage. Existing genotyping requires several days and is impractical for acute neonatal settings where antibiotic decisions must be made within hours.   Objective: To develop and implement a rapid point-of-care test (POCT) for detection of the m.1555A&gt;G variant in acute neonatal settings to guide antibiotic prescribing.  Methods: In a pragmatic prospective implementation study (January–November 2020), neonates admitted to two UK NICUs underwent rapid POCT using buccal swabs obtained alongside routine MRSA screening. Primary outcomes included the proportion of antibiotic-treated neonates successfully tested. Secondary outcomes assessed impact on clinical workflow, test performance, and time for antibiotic administration.  Results: Among 751 enrolled neonates (median age 2.5 days), POCT results were available within 26 minutes and demonstrated 100% sensitivity and specificity. Three neonates carrying the m.1555A&gt;G variant were identified and received alternative cephalosporin-based regimens, avoiding aminoglycoside exposure. Overall, 80.6% of neonates receiving antibiotics were successfully tested. Implementation did not delay antibiotic administration compared with standard care (mean time: 55.87 vs. 55.18 minutes; difference −0.87 minutes).  Conclusions: Rapid MT-RNR1 POCT was successfully integrated into routine neonatal care without disrupting clinical workflows or delaying treatment. Given that aminoglycosides are used in over 7 million neonates annually worldwide and the m.1555A&gt;G variant has a prevalence of 0.1-0.5% in general populations (higher in East Asia), this approach has potential to prevent thousands of cases of irreversible hearing loss globally.</w:t>
      </w:r>
    </w:p>
    <w:p w14:paraId="364DE54C" w14:textId="77777777" w:rsidR="000421CA" w:rsidRDefault="000421CA" w:rsidP="000421CA">
      <w:r>
        <w:br w:type="page"/>
      </w:r>
    </w:p>
    <w:p w14:paraId="656272CB" w14:textId="0F3274CC" w:rsidR="000421CA" w:rsidRDefault="00004C7D" w:rsidP="000421CA">
      <w:pPr>
        <w:spacing w:after="0"/>
      </w:pPr>
      <w:r>
        <w:rPr>
          <w:sz w:val="24"/>
        </w:rPr>
        <w:lastRenderedPageBreak/>
        <w:t>College of Science and Mathematics</w:t>
      </w:r>
    </w:p>
    <w:p w14:paraId="0CDABBF4" w14:textId="2767DA9D" w:rsidR="000421CA" w:rsidRDefault="000421CA" w:rsidP="000421CA">
      <w:pPr>
        <w:spacing w:after="240"/>
      </w:pPr>
    </w:p>
    <w:p w14:paraId="6376679B" w14:textId="77777777" w:rsidR="000421CA" w:rsidRDefault="000421CA" w:rsidP="000421CA">
      <w:pPr>
        <w:spacing w:after="0"/>
      </w:pPr>
      <w:r>
        <w:rPr>
          <w:sz w:val="24"/>
        </w:rPr>
        <w:t>Investigating the axon initial segment structures in the spinal cord neurons</w:t>
      </w:r>
    </w:p>
    <w:p w14:paraId="50718AFC" w14:textId="0162FF3B" w:rsidR="000421CA" w:rsidRDefault="000421CA" w:rsidP="000421CA">
      <w:pPr>
        <w:spacing w:after="0"/>
      </w:pPr>
      <w:r>
        <w:rPr>
          <w:sz w:val="24"/>
        </w:rPr>
        <w:t>Togi, Chinmayee</w:t>
      </w:r>
    </w:p>
    <w:p w14:paraId="2EEDD20B" w14:textId="4DE63002" w:rsidR="000421CA" w:rsidRDefault="000421CA" w:rsidP="000421CA">
      <w:pPr>
        <w:spacing w:after="240"/>
      </w:pPr>
      <w:r>
        <w:rPr>
          <w:sz w:val="24"/>
        </w:rPr>
        <w:t xml:space="preserve">Mentor: </w:t>
      </w:r>
      <w:proofErr w:type="spellStart"/>
      <w:r>
        <w:rPr>
          <w:sz w:val="24"/>
        </w:rPr>
        <w:t>Susuki</w:t>
      </w:r>
      <w:proofErr w:type="spellEnd"/>
      <w:r>
        <w:rPr>
          <w:sz w:val="24"/>
        </w:rPr>
        <w:t>, Keiichiro</w:t>
      </w:r>
    </w:p>
    <w:p w14:paraId="749FCA6F" w14:textId="77777777" w:rsidR="000421CA" w:rsidRDefault="000421CA" w:rsidP="000421CA">
      <w:pPr>
        <w:spacing w:after="480"/>
      </w:pPr>
      <w:r>
        <w:t xml:space="preserve">A critical region of neurons is the axon initial segment (AIS), the site where action potentials are initiated by the exceptionally high density of voltage-gated sodium and potassium channels. AIS is not a stable structure; it is flexible enough to change its structure, a property known as AIS plasticity. In response to physiological or pathological stress, this plasticity, including changes in the AIS length or relocation of the AIS relative to the soma, can alter neuronal excitability. For example, AIS length is significantly reduced in the prefrontal cortex and hippocampus in diabetic </w:t>
      </w:r>
      <w:proofErr w:type="spellStart"/>
      <w:r>
        <w:t>db</w:t>
      </w:r>
      <w:proofErr w:type="spellEnd"/>
      <w:r>
        <w:t>/</w:t>
      </w:r>
      <w:proofErr w:type="spellStart"/>
      <w:r>
        <w:t>db</w:t>
      </w:r>
      <w:proofErr w:type="spellEnd"/>
      <w:r>
        <w:t xml:space="preserve"> mice, presumably contributing to cognitive impairment. However, only a few studies have examined AIS structures in the spinal cord neurons, despite their importance in nervous system function and in the pathophysiology of neurological diseases. One of the obstacles could be the complex anatomical factors that make measuring AIS structures in the spinal cord more challenging than in the cortex. We are currently refining a method to measure AIS structures in spinal cord neurons. We use Fiji software with Simple Neurite Tracer (SNT) to measure the AIS length in a 3D image generated from all z-stack planes, providing a more accurate evaluation of the AIS length and location. We have successfully measured AIS length in 3D in spinal cord motor neurons, and these measurements will offer important insights into the pathophysiology of various diseases. By investigating these structural changes, future studies will aim to link metabolic stress associated with diabetes to alterations in AIS organization that may contribute to impaired motor output at the level of the spinal cord and the development of diabetic peripheral neuropathy.</w:t>
      </w:r>
    </w:p>
    <w:p w14:paraId="3125E761" w14:textId="77777777" w:rsidR="000421CA" w:rsidRDefault="000421CA" w:rsidP="000421CA">
      <w:r>
        <w:br w:type="page"/>
      </w:r>
    </w:p>
    <w:p w14:paraId="162A5307" w14:textId="62FCBE82" w:rsidR="000421CA" w:rsidRDefault="00441698" w:rsidP="000421CA">
      <w:pPr>
        <w:spacing w:after="0"/>
      </w:pPr>
      <w:r>
        <w:rPr>
          <w:sz w:val="24"/>
        </w:rPr>
        <w:lastRenderedPageBreak/>
        <w:t>Boonshoft School of Medicine</w:t>
      </w:r>
    </w:p>
    <w:p w14:paraId="70BFDE66" w14:textId="774AF20E" w:rsidR="000421CA" w:rsidRDefault="000421CA" w:rsidP="000421CA">
      <w:pPr>
        <w:spacing w:after="240"/>
      </w:pPr>
    </w:p>
    <w:p w14:paraId="76290F72" w14:textId="77777777" w:rsidR="000421CA" w:rsidRDefault="000421CA" w:rsidP="000421CA">
      <w:pPr>
        <w:spacing w:after="0"/>
      </w:pPr>
      <w:r>
        <w:rPr>
          <w:sz w:val="24"/>
        </w:rPr>
        <w:t>Platelet-Activating Factor-Receptor Pathways Modify the Cellular Responses to Repurposed Loratadine, Rupatadine and Diphenhydramine in Non-Small Cell Lung Cancer</w:t>
      </w:r>
    </w:p>
    <w:p w14:paraId="20427F41" w14:textId="7A459C39" w:rsidR="000421CA" w:rsidRDefault="000421CA" w:rsidP="000421CA">
      <w:pPr>
        <w:spacing w:after="0"/>
      </w:pPr>
      <w:r>
        <w:rPr>
          <w:sz w:val="24"/>
        </w:rPr>
        <w:t xml:space="preserve">U, </w:t>
      </w:r>
      <w:proofErr w:type="spellStart"/>
      <w:r>
        <w:rPr>
          <w:sz w:val="24"/>
        </w:rPr>
        <w:t>Dipinkumar</w:t>
      </w:r>
      <w:proofErr w:type="spellEnd"/>
      <w:r>
        <w:rPr>
          <w:sz w:val="24"/>
        </w:rPr>
        <w:t xml:space="preserve"> P</w:t>
      </w:r>
    </w:p>
    <w:p w14:paraId="3218973D" w14:textId="5B873EDA" w:rsidR="000421CA" w:rsidRDefault="000421CA" w:rsidP="000421CA">
      <w:pPr>
        <w:spacing w:after="240"/>
      </w:pPr>
      <w:r>
        <w:rPr>
          <w:sz w:val="24"/>
        </w:rPr>
        <w:t>Mentor: Sahu, Ravi P</w:t>
      </w:r>
    </w:p>
    <w:p w14:paraId="746EC298" w14:textId="77777777" w:rsidR="000421CA" w:rsidRDefault="000421CA" w:rsidP="000421CA">
      <w:pPr>
        <w:spacing w:after="480"/>
      </w:pPr>
      <w:r>
        <w:t xml:space="preserve">Introductory Statement: Non-small cell lung cancer (NSCLC) is the leading cause of lung cancer-related mortality worldwide. Frequent mutations in target receptors and Chronic inflammation within the tumor microenvironment contribute to resistance against most standard therapies, making treatment challenging and further promoting cancer progression. Emerging evidence suggests that repurposing </w:t>
      </w:r>
      <w:proofErr w:type="spellStart"/>
      <w:r>
        <w:t>anti inflammatory</w:t>
      </w:r>
      <w:proofErr w:type="spellEnd"/>
      <w:r>
        <w:t xml:space="preserve"> and antihistaminergic drugs may offer therapeutic benefit.   Purpose: This study investigated the 1) role of platelet-activating factor receptor (PAFR) signaling in modulating the efficacy of antihistaminergic drugs (Loratadine, Rupatadine, and Diphenhydramine) and 2) the response with EGFR tyrosine kinase inhibitors (TKIs) like Gefitinib, Erlotinib on A549 and H1299 lung adenocarcinoma cell lines.   Methodological Approach: Cell culture and treatment, Cell viability (SRB ASSAY) and cytotoxicity assays, migration assay (Wound scratch assay), and </w:t>
      </w:r>
      <w:proofErr w:type="spellStart"/>
      <w:r>
        <w:t>qRT</w:t>
      </w:r>
      <w:proofErr w:type="spellEnd"/>
      <w:r>
        <w:t>-PCR. Data were analyzed using the software Graph pad prism and ImageJ to compare control and treatment groups (Rupatadine, Loratadine, Diphenhydramine, Gefitinib, Erlotinib and their combination).   Results: All three antihistaminergic drugs reduced cell growth in a dose-dependent manner, with IC-25 and IC-50 dose calculated for further assays. Migration study revealed inhibition of wound closure; however, this effect was revered by PAFR agonist (CPAF). Combining these drugs with a PAFR antagonist enhanced cytotoxicity compared to monotherapy. Similarly, co-treatment with EGRF TKI’s showed greater response than individual treatment.  Findings: Thus, repurposing antihistaminergic drugs offers a promising adjunct strategy for NSCLC therapy. Their combination with EGFR TKIs and PAFR antagonists significantly enhances cytotoxicity compared to single-agent treatments. These findings support further investigation into multi-targeted approaches to overcoming drug resistance in lung cancer.</w:t>
      </w:r>
    </w:p>
    <w:p w14:paraId="582C2D57" w14:textId="77777777" w:rsidR="000421CA" w:rsidRDefault="000421CA" w:rsidP="000421CA">
      <w:r>
        <w:br w:type="page"/>
      </w:r>
    </w:p>
    <w:p w14:paraId="31D440A4" w14:textId="07F126B6" w:rsidR="000421CA" w:rsidRDefault="00820D98" w:rsidP="000421CA">
      <w:pPr>
        <w:spacing w:after="0"/>
      </w:pPr>
      <w:r>
        <w:rPr>
          <w:sz w:val="24"/>
        </w:rPr>
        <w:lastRenderedPageBreak/>
        <w:t>College of Engineering and Computer Science</w:t>
      </w:r>
    </w:p>
    <w:p w14:paraId="36C0ABD8" w14:textId="61A81E1A" w:rsidR="000421CA" w:rsidRDefault="000421CA" w:rsidP="000421CA">
      <w:pPr>
        <w:spacing w:after="240"/>
      </w:pPr>
    </w:p>
    <w:p w14:paraId="01330530" w14:textId="77777777" w:rsidR="000421CA" w:rsidRDefault="000421CA" w:rsidP="000421CA">
      <w:pPr>
        <w:spacing w:after="0"/>
      </w:pPr>
      <w:r>
        <w:rPr>
          <w:sz w:val="24"/>
        </w:rPr>
        <w:t>Flow Survey Application: Enhancing Research Data Collection Through Android Development</w:t>
      </w:r>
    </w:p>
    <w:p w14:paraId="1D5AA26F" w14:textId="563A7315" w:rsidR="000421CA" w:rsidRDefault="000421CA" w:rsidP="000421CA">
      <w:pPr>
        <w:spacing w:after="0"/>
      </w:pPr>
      <w:r>
        <w:rPr>
          <w:sz w:val="24"/>
        </w:rPr>
        <w:t>Vaidhyanathan, Subiksha S</w:t>
      </w:r>
    </w:p>
    <w:p w14:paraId="3916454E" w14:textId="1B5DD874" w:rsidR="000421CA" w:rsidRDefault="000421CA" w:rsidP="000421CA">
      <w:pPr>
        <w:spacing w:after="240"/>
      </w:pPr>
      <w:r>
        <w:rPr>
          <w:sz w:val="24"/>
        </w:rPr>
        <w:t>Mentor: Banerjee, Tanvi</w:t>
      </w:r>
    </w:p>
    <w:p w14:paraId="266DA388" w14:textId="77777777" w:rsidR="000421CA" w:rsidRDefault="000421CA" w:rsidP="000421CA">
      <w:pPr>
        <w:spacing w:after="480"/>
      </w:pPr>
      <w:r>
        <w:t>Flow is a cognitive state defined as the balance between an individual's skill level and the challenge of a given task. This optimal zone for focus sits between boredom and anxiety. Accurately measuring flow across activity sessions requires a reliable, repeatable, and accessible survey instrument.   We introduce the Flow Survey Application, an Android application designed to streamline flow state data collection in an accessible format. The application guides participants through a structured pre- and post-activity survey framework that captures task engagement, goal tracking, and open-ended responses. Firebase cloud integration enables real-time, secure, and persistent storage of participant responses independent of device state. Output statistics are recorded, displayed, and rendered to support up to one month of longitudinal response data per participant.   Together, these enhancements establish the Flow Survey Application as a robust, independently deployable research tool capable of supporting extended flow state studies across diverse activity domains and organizational settings.</w:t>
      </w:r>
    </w:p>
    <w:p w14:paraId="572760A3" w14:textId="77777777" w:rsidR="000421CA" w:rsidRDefault="000421CA" w:rsidP="000421CA">
      <w:r>
        <w:br w:type="page"/>
      </w:r>
    </w:p>
    <w:p w14:paraId="1CB32AF4" w14:textId="55CA2559" w:rsidR="000421CA" w:rsidRDefault="00441698" w:rsidP="000421CA">
      <w:pPr>
        <w:spacing w:after="0"/>
      </w:pPr>
      <w:r>
        <w:rPr>
          <w:sz w:val="24"/>
        </w:rPr>
        <w:lastRenderedPageBreak/>
        <w:t>Boonshoft School of Medicine</w:t>
      </w:r>
    </w:p>
    <w:p w14:paraId="20838F09" w14:textId="214E7CCB" w:rsidR="000421CA" w:rsidRDefault="000421CA" w:rsidP="000421CA">
      <w:pPr>
        <w:spacing w:after="240"/>
      </w:pPr>
    </w:p>
    <w:p w14:paraId="603A396A" w14:textId="77777777" w:rsidR="000421CA" w:rsidRDefault="000421CA" w:rsidP="000421CA">
      <w:pPr>
        <w:spacing w:after="0"/>
      </w:pPr>
      <w:r>
        <w:rPr>
          <w:sz w:val="24"/>
        </w:rPr>
        <w:t>Precision Neuro-Oncology in the Era of Multi-Omics, Nano medicine, and Artificial Intelligence: A Transformative Review</w:t>
      </w:r>
    </w:p>
    <w:p w14:paraId="34B99251" w14:textId="77F4AC8B" w:rsidR="000421CA" w:rsidRDefault="000421CA" w:rsidP="000421CA">
      <w:pPr>
        <w:spacing w:after="0"/>
      </w:pPr>
      <w:proofErr w:type="spellStart"/>
      <w:r>
        <w:rPr>
          <w:sz w:val="24"/>
        </w:rPr>
        <w:t>Vallakati</w:t>
      </w:r>
      <w:proofErr w:type="spellEnd"/>
      <w:r>
        <w:rPr>
          <w:sz w:val="24"/>
        </w:rPr>
        <w:t>, Naresh</w:t>
      </w:r>
    </w:p>
    <w:p w14:paraId="4E2EFC1A" w14:textId="008C4C0F" w:rsidR="000421CA" w:rsidRDefault="000421CA" w:rsidP="000421CA">
      <w:pPr>
        <w:spacing w:after="240"/>
      </w:pPr>
      <w:r>
        <w:rPr>
          <w:sz w:val="24"/>
        </w:rPr>
        <w:t>Mentor: Oroszi, Terry L</w:t>
      </w:r>
    </w:p>
    <w:p w14:paraId="7B8A40A4" w14:textId="77777777" w:rsidR="000421CA" w:rsidRDefault="000421CA" w:rsidP="000421CA">
      <w:pPr>
        <w:spacing w:after="480"/>
      </w:pPr>
      <w:r>
        <w:t>Currently, many brain tumors present unique challenges due to their aggressive morphology and infiltrative growth, as well as the fact that they often defy standard treatment modalities. An upsurge in global life expectancy, along with increasing impact from environmental exposure, has contributed to a significant increase in oncological disease burden worldwide due, in part, to increased sensitivity of diagnosis. Neuro-oncology has begun to utilize a more integrative approach combining new diagnostic and therapeutic modalities with advances in molecular, computational and imaging technologies. Newer approaches quoting focus on the tumor microenvironment (TME), tumor molecular pathology, and tumor epidemiology, while applying multi-omics integrated with artificial intelligence (AI), and Nanomedicine Engineered Chimeric Antigen Receptor (CAR)-T Cell Therapy (AINEC), represent exciting developments in advanced treatment methodology for patients diagnosed with brain cancer in the field of neuro-oncology. In summary, AINEC, along with related technologies, will play an important role in developing tailored and adaptive neuro-oncology patient care and, in turn, positively affecting the outcome of all patients diagnosed with either primary or metastatic brain tumors.</w:t>
      </w:r>
    </w:p>
    <w:p w14:paraId="01DED38F" w14:textId="77777777" w:rsidR="000421CA" w:rsidRDefault="000421CA" w:rsidP="000421CA">
      <w:r>
        <w:br w:type="page"/>
      </w:r>
    </w:p>
    <w:p w14:paraId="5C66D1B7" w14:textId="214346B1" w:rsidR="000421CA" w:rsidRDefault="00004C7D" w:rsidP="000421CA">
      <w:pPr>
        <w:spacing w:after="0"/>
      </w:pPr>
      <w:r>
        <w:rPr>
          <w:sz w:val="24"/>
        </w:rPr>
        <w:lastRenderedPageBreak/>
        <w:t>College of Science and Mathematics</w:t>
      </w:r>
    </w:p>
    <w:p w14:paraId="6F883F3C" w14:textId="25687E9F" w:rsidR="000421CA" w:rsidRDefault="000421CA" w:rsidP="000421CA">
      <w:pPr>
        <w:spacing w:after="240"/>
      </w:pPr>
    </w:p>
    <w:p w14:paraId="5B049F2B" w14:textId="77777777" w:rsidR="000421CA" w:rsidRDefault="000421CA" w:rsidP="000421CA">
      <w:pPr>
        <w:spacing w:after="0"/>
      </w:pPr>
      <w:r>
        <w:rPr>
          <w:sz w:val="24"/>
        </w:rPr>
        <w:t>Assessment of Moon Phase Conceptual Regression among Pre-Service Teachers</w:t>
      </w:r>
    </w:p>
    <w:p w14:paraId="5B5B18E0" w14:textId="242C2E3A" w:rsidR="000421CA" w:rsidRDefault="000421CA" w:rsidP="000421CA">
      <w:pPr>
        <w:spacing w:after="0"/>
      </w:pPr>
      <w:r>
        <w:rPr>
          <w:sz w:val="24"/>
        </w:rPr>
        <w:t>Vanwagner, Holly</w:t>
      </w:r>
    </w:p>
    <w:p w14:paraId="50D62490" w14:textId="4DF62BA1" w:rsidR="000421CA" w:rsidRDefault="000421CA" w:rsidP="000421CA">
      <w:pPr>
        <w:spacing w:after="240"/>
      </w:pPr>
      <w:r>
        <w:rPr>
          <w:sz w:val="24"/>
        </w:rPr>
        <w:t>Mentor: Teed, Rebecca</w:t>
      </w:r>
    </w:p>
    <w:p w14:paraId="42458453" w14:textId="77777777" w:rsidR="000421CA" w:rsidRDefault="000421CA" w:rsidP="000421CA">
      <w:pPr>
        <w:spacing w:after="480"/>
      </w:pPr>
      <w:r>
        <w:t>Teachers working with students aged 6 to 14 years old need strong conceptual understanding of how moon phases work in order to teach it correctly. Many students, both young and old, revert to previous misconceptions about the mechanism which causes moon phases. This study investigates how pre-service teachers in an Earth science class at Wright State University answer the following: “Explain why the moon appears as a crescent, sometimes as a circle (full moon), and sometimes not at all (new moon). Use a diagram and/or a very clear prose.” This question was originally asked on an exam and was later included in an assessment provided in this class at the beginning and end of the semester.  The students took a separate multiple-choice pre-test and post-test immediately before and after a lesson involving physical models representing the sun, moon and Earth. The proportion of correct responses increased substantially and significantly after the lesson, but many of the same students were unable to explain moon phases on an exam weeks later and some demonstrated a regression of understanding.  Three independent researchers developed and revised a multidimensional rubric based on these assessments and tested it, measuring inter-rater variability on three different drafts. The refined rubric measures clarity, position, system mechanism, and source of light. Clarity has indicators to assess completeness of the students’ explanation whether in prose or in a diagram.</w:t>
      </w:r>
    </w:p>
    <w:p w14:paraId="7FF24016" w14:textId="77777777" w:rsidR="000421CA" w:rsidRDefault="000421CA" w:rsidP="000421CA">
      <w:r>
        <w:br w:type="page"/>
      </w:r>
    </w:p>
    <w:p w14:paraId="0B918754" w14:textId="089371EB" w:rsidR="000421CA" w:rsidRDefault="00820D98" w:rsidP="000421CA">
      <w:pPr>
        <w:spacing w:after="0"/>
      </w:pPr>
      <w:r>
        <w:rPr>
          <w:sz w:val="24"/>
        </w:rPr>
        <w:lastRenderedPageBreak/>
        <w:t>College of Engineering and Computer Science</w:t>
      </w:r>
    </w:p>
    <w:p w14:paraId="5CECB0B8" w14:textId="77777777" w:rsidR="00820D98" w:rsidRDefault="00820D98" w:rsidP="000421CA">
      <w:pPr>
        <w:spacing w:after="240"/>
        <w:rPr>
          <w:sz w:val="24"/>
        </w:rPr>
      </w:pPr>
    </w:p>
    <w:p w14:paraId="5461AB65" w14:textId="77777777" w:rsidR="000421CA" w:rsidRDefault="000421CA" w:rsidP="000421CA">
      <w:pPr>
        <w:spacing w:after="0"/>
      </w:pPr>
      <w:r>
        <w:rPr>
          <w:sz w:val="24"/>
        </w:rPr>
        <w:t>Physics Informed Reasoning for Carbon Nanotube Synthesis</w:t>
      </w:r>
    </w:p>
    <w:p w14:paraId="41F9329C" w14:textId="5F23F2F5" w:rsidR="000421CA" w:rsidRDefault="000421CA" w:rsidP="000421CA">
      <w:pPr>
        <w:spacing w:after="0"/>
      </w:pPr>
      <w:r>
        <w:rPr>
          <w:sz w:val="24"/>
        </w:rPr>
        <w:t>Wasky, Jon</w:t>
      </w:r>
    </w:p>
    <w:p w14:paraId="10175A40" w14:textId="012C8663" w:rsidR="000421CA" w:rsidRDefault="000421CA" w:rsidP="000421CA">
      <w:pPr>
        <w:spacing w:after="240"/>
      </w:pPr>
      <w:r>
        <w:rPr>
          <w:sz w:val="24"/>
        </w:rPr>
        <w:t>Mentor: Shimizu, Cogan</w:t>
      </w:r>
    </w:p>
    <w:p w14:paraId="6AEDF8FA" w14:textId="77777777" w:rsidR="000421CA" w:rsidRDefault="000421CA" w:rsidP="000421CA">
      <w:pPr>
        <w:spacing w:after="480"/>
      </w:pPr>
      <w:r>
        <w:t>Carbon nanotube (CNT) synthesis is a pivotal subfield in materials science that stands in the intersection of chemical engineering and nanotechnology. CNTs can be used to create strong and lightweight materials, but are costly to synthesize, especially at scale with both materials and manpower. To address these cost and scaling barriers, researchers require a more structured way to navigate complex synthesis data, specifically with the proposed use of knowledge graphs. These knowledge graphs will be used alongside an LLM to make informed decisions on the next synthesis experiment to run and complete. Based on the outcome of these experiments, the LLM is fine-tuned to increase the likelihood of successful carbon nanotube synthesis.</w:t>
      </w:r>
    </w:p>
    <w:p w14:paraId="467583B5" w14:textId="77777777" w:rsidR="000421CA" w:rsidRDefault="000421CA" w:rsidP="000421CA">
      <w:r>
        <w:br w:type="page"/>
      </w:r>
    </w:p>
    <w:p w14:paraId="254A9E62" w14:textId="4F06DBF4" w:rsidR="000421CA" w:rsidRDefault="00004C7D" w:rsidP="000421CA">
      <w:pPr>
        <w:spacing w:after="0"/>
      </w:pPr>
      <w:r>
        <w:rPr>
          <w:sz w:val="24"/>
        </w:rPr>
        <w:lastRenderedPageBreak/>
        <w:t>College of Science and Mathematics</w:t>
      </w:r>
    </w:p>
    <w:p w14:paraId="3AAAD118" w14:textId="4DF404C9" w:rsidR="000421CA" w:rsidRDefault="000421CA" w:rsidP="000421CA">
      <w:pPr>
        <w:spacing w:after="240"/>
      </w:pPr>
    </w:p>
    <w:p w14:paraId="7DBA73E0" w14:textId="7C7328CB" w:rsidR="000421CA" w:rsidRDefault="000421CA" w:rsidP="000421CA">
      <w:pPr>
        <w:spacing w:after="0"/>
      </w:pPr>
      <w:r>
        <w:rPr>
          <w:sz w:val="24"/>
        </w:rPr>
        <w:t>Measuring Cognitive Fatigue in Mentally Engaging Tasks with Engagement</w:t>
      </w:r>
      <w:r w:rsidR="00740A9B">
        <w:rPr>
          <w:sz w:val="24"/>
        </w:rPr>
        <w:t xml:space="preserve"> </w:t>
      </w:r>
      <w:r>
        <w:rPr>
          <w:sz w:val="24"/>
        </w:rPr>
        <w:t>Tracker</w:t>
      </w:r>
    </w:p>
    <w:p w14:paraId="74FC4EAF" w14:textId="0CE941C8" w:rsidR="000421CA" w:rsidRDefault="000421CA" w:rsidP="000421CA">
      <w:pPr>
        <w:spacing w:after="0"/>
      </w:pPr>
      <w:r>
        <w:rPr>
          <w:sz w:val="24"/>
        </w:rPr>
        <w:t>Whorton, Amelia</w:t>
      </w:r>
    </w:p>
    <w:p w14:paraId="0E638896" w14:textId="6B8D4801" w:rsidR="000421CA" w:rsidRDefault="000421CA" w:rsidP="000421CA">
      <w:pPr>
        <w:spacing w:after="240"/>
      </w:pPr>
      <w:r>
        <w:rPr>
          <w:sz w:val="24"/>
        </w:rPr>
        <w:t>Mentor: Banerjee, Tanvi</w:t>
      </w:r>
    </w:p>
    <w:p w14:paraId="1B7BA375" w14:textId="77777777" w:rsidR="000421CA" w:rsidRDefault="000421CA" w:rsidP="000421CA">
      <w:pPr>
        <w:spacing w:after="480"/>
      </w:pPr>
      <w:r>
        <w:t xml:space="preserve">Fatigue impairs cognitive and task performance, and monitoring fatigue in real-world settings remains challenging. This study assesses the efficacy of using physiological signals from Garmin wearables to classify subjective cognitive fatigue during mentally demanding activities, including studying, writing, computer coding, and practicing musical performance. We introduce </w:t>
      </w:r>
      <w:proofErr w:type="spellStart"/>
      <w:r>
        <w:t>EngagementTracker</w:t>
      </w:r>
      <w:proofErr w:type="spellEnd"/>
      <w:r>
        <w:t xml:space="preserve">, a custom Garmin application that periodically collects fatigue ratings alongside continuous heart rate, oxygen saturation, stress metrics and retrospective task engagement. Across 103 sessions (117.88 hours) from nine participants, 57 physiologically derived features were used to train machine learning models under standard and session-wise cross-validation. Under session-wise evaluation, a soft-voting ensemble performed best, achieving combined averages across sessions and folds of 0.77 and 0.69 for accuracy and macro F1, respectively. The model also achieved an average AUC of 0.85 for the rarest and most severe fatigue class. This work is promising because it demonstrates the use of wearable-based cognitive fatigue monitoring and stresses the importance of session-aware validation for </w:t>
      </w:r>
      <w:proofErr w:type="spellStart"/>
      <w:r>
        <w:t>realworld</w:t>
      </w:r>
      <w:proofErr w:type="spellEnd"/>
      <w:r>
        <w:t xml:space="preserve"> deployment.</w:t>
      </w:r>
    </w:p>
    <w:p w14:paraId="713A857C" w14:textId="77777777" w:rsidR="000421CA" w:rsidRDefault="000421CA" w:rsidP="000421CA">
      <w:r>
        <w:br w:type="page"/>
      </w:r>
    </w:p>
    <w:p w14:paraId="6D1FD8E9" w14:textId="5402084B" w:rsidR="000421CA" w:rsidRDefault="00004C7D" w:rsidP="000421CA">
      <w:pPr>
        <w:spacing w:after="0"/>
      </w:pPr>
      <w:r>
        <w:rPr>
          <w:sz w:val="24"/>
        </w:rPr>
        <w:lastRenderedPageBreak/>
        <w:t>College of Science and Mathematics</w:t>
      </w:r>
    </w:p>
    <w:p w14:paraId="79D14E03" w14:textId="02B0A69A" w:rsidR="000421CA" w:rsidRDefault="000421CA" w:rsidP="000421CA">
      <w:pPr>
        <w:spacing w:after="240"/>
      </w:pPr>
    </w:p>
    <w:p w14:paraId="4DA84098" w14:textId="77777777" w:rsidR="000421CA" w:rsidRDefault="000421CA" w:rsidP="000421CA">
      <w:pPr>
        <w:spacing w:after="0"/>
      </w:pPr>
      <w:r>
        <w:rPr>
          <w:sz w:val="24"/>
        </w:rPr>
        <w:t>Futures in Chemistry</w:t>
      </w:r>
    </w:p>
    <w:p w14:paraId="4AC2E34E" w14:textId="6675D1D7" w:rsidR="000421CA" w:rsidRDefault="000421CA" w:rsidP="000421CA">
      <w:pPr>
        <w:spacing w:after="0"/>
      </w:pPr>
      <w:r>
        <w:rPr>
          <w:sz w:val="24"/>
        </w:rPr>
        <w:t>Wilson, Caitlin Maire</w:t>
      </w:r>
    </w:p>
    <w:p w14:paraId="31970A3E" w14:textId="51002070" w:rsidR="000421CA" w:rsidRDefault="000421CA" w:rsidP="000421CA">
      <w:pPr>
        <w:spacing w:after="240"/>
      </w:pPr>
      <w:r>
        <w:rPr>
          <w:sz w:val="24"/>
        </w:rPr>
        <w:t>Mentor: Lunsford, Dr. Suzanne</w:t>
      </w:r>
    </w:p>
    <w:p w14:paraId="0A70BD60" w14:textId="77777777" w:rsidR="000421CA" w:rsidRDefault="000421CA" w:rsidP="000421CA">
      <w:pPr>
        <w:spacing w:after="480"/>
      </w:pPr>
      <w:r>
        <w:t xml:space="preserve">The Ohio Environmental Education Grant has provided funding for the "Futures in Chemistry" program. Through this support, the program acquired a </w:t>
      </w:r>
      <w:proofErr w:type="spellStart"/>
      <w:r>
        <w:t>potentiostat</w:t>
      </w:r>
      <w:proofErr w:type="spellEnd"/>
      <w:r>
        <w:t xml:space="preserve">, which has been utilized by the Wright State University Department of Chemistry to enhance hands-on learning experiences. Using the </w:t>
      </w:r>
      <w:proofErr w:type="spellStart"/>
      <w:r>
        <w:t>potentiostat</w:t>
      </w:r>
      <w:proofErr w:type="spellEnd"/>
      <w:r>
        <w:t>, students engage in laboratory activities focused on electrochemistry and redox reactions, including the detection of heavy metal ion pollutants in water samples. These activities strengthen students’ understanding of environmental chemistry concepts and analytical techniques used in water quality monitoring. The R.R. Hake' technique was used to assess the content gains by students that attended the "Futures in Chemistry" program.</w:t>
      </w:r>
    </w:p>
    <w:p w14:paraId="221DBEFA" w14:textId="77777777" w:rsidR="000421CA" w:rsidRDefault="000421CA" w:rsidP="000421CA">
      <w:r>
        <w:br w:type="page"/>
      </w:r>
    </w:p>
    <w:p w14:paraId="6A345203" w14:textId="7486D77B" w:rsidR="000421CA" w:rsidRDefault="00004C7D" w:rsidP="000421CA">
      <w:pPr>
        <w:spacing w:after="0"/>
      </w:pPr>
      <w:r>
        <w:rPr>
          <w:sz w:val="24"/>
        </w:rPr>
        <w:lastRenderedPageBreak/>
        <w:t>College of Science and Mathematics</w:t>
      </w:r>
    </w:p>
    <w:p w14:paraId="743B2B15" w14:textId="7F50C138" w:rsidR="000421CA" w:rsidRDefault="000421CA" w:rsidP="000421CA">
      <w:pPr>
        <w:spacing w:after="240"/>
      </w:pPr>
    </w:p>
    <w:p w14:paraId="59B68867" w14:textId="77777777" w:rsidR="000421CA" w:rsidRDefault="000421CA" w:rsidP="000421CA">
      <w:pPr>
        <w:spacing w:after="0"/>
      </w:pPr>
      <w:r>
        <w:rPr>
          <w:sz w:val="24"/>
        </w:rPr>
        <w:t>ROLE OF YPT1 IN MODULATING ALPHA-SYNUCLEIN TOXICITY</w:t>
      </w:r>
    </w:p>
    <w:p w14:paraId="4A9BC4AA" w14:textId="63FDF4C9" w:rsidR="000421CA" w:rsidRDefault="000421CA" w:rsidP="000421CA">
      <w:pPr>
        <w:spacing w:after="0"/>
      </w:pPr>
      <w:r>
        <w:rPr>
          <w:sz w:val="24"/>
        </w:rPr>
        <w:t>Yadav, Sonu</w:t>
      </w:r>
    </w:p>
    <w:p w14:paraId="54D48127" w14:textId="20A49F09" w:rsidR="000421CA" w:rsidRDefault="000421CA" w:rsidP="000421CA">
      <w:pPr>
        <w:spacing w:after="240"/>
      </w:pPr>
      <w:r>
        <w:rPr>
          <w:sz w:val="24"/>
        </w:rPr>
        <w:t>Mentor: Zhong, Quan</w:t>
      </w:r>
    </w:p>
    <w:p w14:paraId="776B955F" w14:textId="77777777" w:rsidR="000421CA" w:rsidRDefault="000421CA" w:rsidP="000421CA">
      <w:pPr>
        <w:spacing w:after="480"/>
      </w:pPr>
      <w:r>
        <w:t>Lewy bodies (LB) are the pathological hallmark of Parkinson’s disease (PD), and Alpha-Synuclein (α-syn) is the major constituent of LBs, whose accumulation induces cytotoxicity that drives the selective loss of dopaminergic neurons in PD patients. Currently, there is no cure for PD because we don’t fully understand the molecular mechanisms of how α-syn gets abnormally misfolded and induces toxicity. Previous work has shown that α-syn accumulation induces endoplasmic reticulum (ER) stress by disrupting ER–Golgi trafficking in yeast. Overexpression of the Rab GTPase Ypt1 rescues α-syn–induced toxicity, and this protective effect is conserved in several human homologs and in animal and neuronal models. Ypt1 is a multifunctional protein that coordinates different trafficking steps in the cell. When we overexpressed two mutants, ypt1I41M and ypt1T40A, in a yeast strain expressing toxic levels of α-syn, both mutants lost their suppressor effect and instead enhanced α-syn toxicity. Because both mutants retain their function in ER-Golgi trafficking, this result suggests that a role other than ER-Golgi trafficking is required for Ypt1 to suppress α-syn toxicity. Given the regulatory role of Ypt1 in autophagy, we hypothesize that Ypt1 suppresses α-syn toxicity by promoting the clearance of α-syn inclusions, likely through upregulating the autophagy pathway. Consistent with this idea, we found that overexpressing wild-type YPT1 enhances autophagosome formation. To further define the mechanism, we will use the mini–Auxin Induced Degron (</w:t>
      </w:r>
      <w:proofErr w:type="spellStart"/>
      <w:r>
        <w:t>mAID</w:t>
      </w:r>
      <w:proofErr w:type="spellEnd"/>
      <w:r>
        <w:t>) system to temporally control Ypt1 levels. In this approach, Ypt1 will be degraded while α-syn is expressed, allowing inclusions to accumulate in its absence, and then Auxin will be removed to restore Ypt1. This approach will determine whether Ypt1 rescues toxicity by clearing pre-existing inclusions or if its protective role occurs earlier by preventing inclusion formation. These studies will clarify how Ypt1 modulates α-syn toxicity and may lead to new therapies for PD.</w:t>
      </w:r>
    </w:p>
    <w:p w14:paraId="754E6667" w14:textId="77777777" w:rsidR="000421CA" w:rsidRDefault="000421CA" w:rsidP="000421CA">
      <w:r>
        <w:br w:type="page"/>
      </w:r>
    </w:p>
    <w:p w14:paraId="5BBB7839" w14:textId="095A76B2" w:rsidR="000421CA" w:rsidRDefault="00441698" w:rsidP="000421CA">
      <w:pPr>
        <w:spacing w:after="0"/>
      </w:pPr>
      <w:r>
        <w:rPr>
          <w:sz w:val="24"/>
        </w:rPr>
        <w:lastRenderedPageBreak/>
        <w:t>Boonshoft School of Medicine</w:t>
      </w:r>
    </w:p>
    <w:p w14:paraId="420017D2" w14:textId="4228D071" w:rsidR="000421CA" w:rsidRDefault="000421CA" w:rsidP="000421CA">
      <w:pPr>
        <w:spacing w:after="240"/>
      </w:pPr>
    </w:p>
    <w:p w14:paraId="19D7C300" w14:textId="77777777" w:rsidR="000421CA" w:rsidRDefault="000421CA" w:rsidP="000421CA">
      <w:pPr>
        <w:spacing w:after="0"/>
      </w:pPr>
      <w:r>
        <w:rPr>
          <w:sz w:val="24"/>
        </w:rPr>
        <w:t>HEALTH EFFECTS OF CLIMATE CHANGE: NARRATIVE REVIEW OF A 20-SUBGROUPS KEYWORDS- BASED LITERATURE MAPPING</w:t>
      </w:r>
    </w:p>
    <w:p w14:paraId="05609425" w14:textId="1194961D" w:rsidR="000421CA" w:rsidRDefault="000421CA" w:rsidP="000421CA">
      <w:pPr>
        <w:spacing w:after="0"/>
      </w:pPr>
      <w:proofErr w:type="spellStart"/>
      <w:r>
        <w:rPr>
          <w:sz w:val="24"/>
        </w:rPr>
        <w:t>Yerragunta</w:t>
      </w:r>
      <w:proofErr w:type="spellEnd"/>
      <w:r>
        <w:rPr>
          <w:sz w:val="24"/>
        </w:rPr>
        <w:t>, Sai Kiran</w:t>
      </w:r>
    </w:p>
    <w:p w14:paraId="65200B4F" w14:textId="0C4F946E" w:rsidR="000421CA" w:rsidRDefault="000421CA" w:rsidP="000421CA">
      <w:pPr>
        <w:spacing w:after="240"/>
      </w:pPr>
      <w:r>
        <w:rPr>
          <w:sz w:val="24"/>
        </w:rPr>
        <w:t>Mentor: Oroszi, Terry</w:t>
      </w:r>
    </w:p>
    <w:p w14:paraId="195EB490" w14:textId="77777777" w:rsidR="000421CA" w:rsidRDefault="000421CA" w:rsidP="000421CA">
      <w:pPr>
        <w:spacing w:after="480"/>
      </w:pPr>
      <w:r>
        <w:t xml:space="preserve">Abstract Essential in the 21st century, climate change is one of the most pressing issues connected to the environment and the health of people. Global system processes of environmental exposures and pollution are evolving because of increasing temperatures, altered precipitation, increase in sea levels and extreme weather events. In this narrative review, the authors use a 20-subgroup thematic mapping framework to synthesize evidence of the connection between climate induced environmental changes and pollution pathways and a variety of health outcomes. A literature mapping method, which is semi-systematic and based on use of keywords, was used to identify studies (peer-reviewed), and global assessments as authoritative sources of evidence to be used across various domains such as heat-related illness, air pollution, </w:t>
      </w:r>
      <w:proofErr w:type="spellStart"/>
      <w:r>
        <w:t>infections</w:t>
      </w:r>
      <w:proofErr w:type="spellEnd"/>
      <w:r>
        <w:t xml:space="preserve"> diseases, food security, mental health, maternal and child. Health, occupational risks, environmental contaminates, vulnerable populations, and health system resilience. Existing solid linkages are always noticed among heat exposure and cardiovascular and respiratory morbidity and climate-induced ecological change and the widening burden of the vector borne and waterborne diseases. Examples of the most important mediating pathways are pollution exposures amplified by climate conditions such as smoke in a forest wildfire, ozone formation, particular matter, and chemical mobilization. There are significant evidence gaps in maternal health, long term mental health outcomes, chronic disease interactions, and subnational exposure assessment. Priorities as demonstrated in this review include research and environmental management areas of focus, with a focus on the significance of pollution control, climate-sensitive infrastructure, and integrated environmental health policy.</w:t>
      </w:r>
    </w:p>
    <w:p w14:paraId="6141AA23" w14:textId="77777777" w:rsidR="000421CA" w:rsidRDefault="000421CA" w:rsidP="000421CA">
      <w:r>
        <w:br w:type="page"/>
      </w:r>
    </w:p>
    <w:p w14:paraId="2F28F8E7" w14:textId="0FDE8560" w:rsidR="000421CA" w:rsidRDefault="00004C7D" w:rsidP="000421CA">
      <w:pPr>
        <w:spacing w:after="0"/>
      </w:pPr>
      <w:r>
        <w:rPr>
          <w:sz w:val="24"/>
        </w:rPr>
        <w:lastRenderedPageBreak/>
        <w:t>College of Science and Mathematics</w:t>
      </w:r>
    </w:p>
    <w:p w14:paraId="51E176E1" w14:textId="19F33658" w:rsidR="000421CA" w:rsidRDefault="000421CA" w:rsidP="000421CA">
      <w:pPr>
        <w:spacing w:after="240"/>
      </w:pPr>
    </w:p>
    <w:p w14:paraId="2F7D527F" w14:textId="77777777" w:rsidR="000421CA" w:rsidRDefault="000421CA" w:rsidP="000421CA">
      <w:pPr>
        <w:spacing w:after="0"/>
      </w:pPr>
      <w:r>
        <w:rPr>
          <w:sz w:val="24"/>
        </w:rPr>
        <w:t>Elucidating the biological effects of platinum adduct-containing cell-free DNA.</w:t>
      </w:r>
    </w:p>
    <w:p w14:paraId="75D29711" w14:textId="669B25D6" w:rsidR="000421CA" w:rsidRDefault="000421CA" w:rsidP="000421CA">
      <w:pPr>
        <w:spacing w:after="0"/>
      </w:pPr>
      <w:proofErr w:type="spellStart"/>
      <w:r>
        <w:rPr>
          <w:sz w:val="24"/>
        </w:rPr>
        <w:t>Yerrapragada</w:t>
      </w:r>
      <w:proofErr w:type="spellEnd"/>
      <w:r>
        <w:rPr>
          <w:sz w:val="24"/>
        </w:rPr>
        <w:t>, Sri Meghana</w:t>
      </w:r>
    </w:p>
    <w:p w14:paraId="2AFA6B93" w14:textId="413D034B" w:rsidR="000421CA" w:rsidRDefault="000421CA" w:rsidP="000421CA">
      <w:pPr>
        <w:spacing w:after="240"/>
      </w:pPr>
      <w:r>
        <w:rPr>
          <w:sz w:val="24"/>
        </w:rPr>
        <w:t>Mentor: Kemp, Dr. Michael G.</w:t>
      </w:r>
    </w:p>
    <w:p w14:paraId="63FDBEBE" w14:textId="77777777" w:rsidR="000421CA" w:rsidRDefault="000421CA" w:rsidP="000421CA">
      <w:pPr>
        <w:spacing w:after="480"/>
      </w:pPr>
      <w:r>
        <w:t>Cisplatin is a widely used chemotherapeutic agent for cancers such as lung, breast, esophageal, ovarian, and pancreatic. However, its effectiveness is constrained by its cytotoxicity to healthy tissues and the rapid development of cancer cell resistance. Cisplatin binds to the N7 position of purines in DNA, forming intra- and inter-strand crosslinks, which are potentially mutagenic and lethal if not removed by the nucleotide excision repair (NER) system. When DNA repair mechanisms are overwhelmed, cisplatin-DNA adducts can trigger caspase-dependent apoptosis, leading to degradation of the damaged DNA. Interestingly, the ultimate fate of this damaged DNA remains unclear. Our study, using differential centrifugation and DNA immunoblotting, has identified cisplatin-adduct-containing DNA associated with small extracellular vesicles (SEVs) released from cells treated with lethal doses of cisplatin. Notably, caspase inhibition blocks this release, while inhibition of NER enhances it. This suggests that SEVs serve as a vehicle for the disposal of damaged DNA. Further, our research demonstrates that non-damaged bystander cells can uptake these SEV-associated cisplatin-DNA adducts, potentially activating DNA damage checkpoints or innate immune responses. This process can also alter the sensitivity of bystander cells to cisplatin. Given the role of extracellular vesicles in intercellular communication, our findings suggest that damaged DNA could be transferred to distant organs, contributing to cisplatin resistance, toxicity, and systemic side effects. Understanding the mechanism by which SEVs containing cisplatin-DNA adducts influence cell signaling and treatment outcomes could open new avenues for using SEVs as biomarkers to monitor therapeutic responses and minimize long-term genomic risks associated with chemotherapy.</w:t>
      </w:r>
    </w:p>
    <w:p w14:paraId="188B5EC9" w14:textId="77777777" w:rsidR="000421CA" w:rsidRDefault="000421CA" w:rsidP="000421CA">
      <w:r>
        <w:br w:type="page"/>
      </w:r>
    </w:p>
    <w:p w14:paraId="35BFFDBE" w14:textId="60E773D0" w:rsidR="000421CA" w:rsidRDefault="00B537EA" w:rsidP="000421CA">
      <w:pPr>
        <w:spacing w:after="0"/>
      </w:pPr>
      <w:r>
        <w:rPr>
          <w:sz w:val="24"/>
        </w:rPr>
        <w:lastRenderedPageBreak/>
        <w:t>College of Engineering and Computer Science</w:t>
      </w:r>
    </w:p>
    <w:p w14:paraId="0BE8112C" w14:textId="77777777" w:rsidR="00ED388A" w:rsidRDefault="00ED388A" w:rsidP="000421CA">
      <w:pPr>
        <w:spacing w:after="240"/>
        <w:rPr>
          <w:sz w:val="24"/>
        </w:rPr>
      </w:pPr>
    </w:p>
    <w:p w14:paraId="089B3C47" w14:textId="77777777" w:rsidR="000421CA" w:rsidRDefault="000421CA" w:rsidP="000421CA">
      <w:pPr>
        <w:spacing w:after="0"/>
      </w:pPr>
      <w:r>
        <w:rPr>
          <w:sz w:val="24"/>
        </w:rPr>
        <w:t>Sustainable and Smart Urban Air Mobility: A Semi-Desirable Hub Location and Sizing Approach for Vertiport Planning</w:t>
      </w:r>
    </w:p>
    <w:p w14:paraId="46642B36" w14:textId="5CB42325" w:rsidR="000421CA" w:rsidRDefault="000421CA" w:rsidP="000421CA">
      <w:pPr>
        <w:spacing w:after="0"/>
      </w:pPr>
      <w:r>
        <w:rPr>
          <w:sz w:val="24"/>
        </w:rPr>
        <w:t>Zare, Zahra</w:t>
      </w:r>
    </w:p>
    <w:p w14:paraId="0BDA9209" w14:textId="05B5268D" w:rsidR="000421CA" w:rsidRDefault="000421CA" w:rsidP="000421CA">
      <w:pPr>
        <w:spacing w:after="240"/>
      </w:pPr>
      <w:r>
        <w:rPr>
          <w:sz w:val="24"/>
        </w:rPr>
        <w:t>Mentor: Karatas, Mumtaz</w:t>
      </w:r>
    </w:p>
    <w:p w14:paraId="4EF922F6" w14:textId="225BE71D" w:rsidR="000421CA" w:rsidRDefault="000421CA" w:rsidP="00F97996">
      <w:pPr>
        <w:spacing w:after="480"/>
      </w:pPr>
      <w:r>
        <w:t>Abstract The growing demand for sustainable and smart transportation has increased interest in Urban Air Mobility (UAM). Conversely, the effectiveness and public acceptance of UAM largely depends on strategically positioning vertiports where Vertical Takeoff and Landing (VTOL) aircraft will operate. To that end, vertiports must balance accessibility to demand nodes with the obnoxiousness they generate, such as noise, visual pollution, and safety risks. This study considers a transportation framework where vertiports serve as hubs within UAM. In this framework, travelers first commute to the vertiport, move between vertiports via VTOLs, and complete their final leg of journey with ground transportation. We model the vertiports as semi-desirable facilities by capturing their pull (public benefit) effects and push (obnoxious) effects. The vertiport size accounts for both how much inflow-outflow each vertiport can handle and the degree of obnoxiousness it generates to its surrounding society. To illustrate the applicability of the model, we perform a case study that considers 50 cities located in southwest part of Ohio, USA. We then generate a representative set of solutions for the problem to provide decision support to planners. Results reveal that explicitly incorporating the dual nature of vertiports yields more balanced and socially acceptable network designs and provides a decision-support framework for integrating UAM into future smart mobility systems. Keywords: urban air mobility; vertiport; hub location; semi-desirable facility location</w:t>
      </w:r>
      <w:r w:rsidR="00BB4569">
        <w:t>.</w:t>
      </w:r>
    </w:p>
    <w:p w14:paraId="7F10A742" w14:textId="77777777" w:rsidR="00F97996" w:rsidRDefault="00F97996" w:rsidP="00F97996">
      <w:pPr>
        <w:spacing w:after="480"/>
      </w:pPr>
    </w:p>
    <w:sectPr w:rsidR="00F979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C632D4"/>
    <w:multiLevelType w:val="hybridMultilevel"/>
    <w:tmpl w:val="3B269CE8"/>
    <w:lvl w:ilvl="0" w:tplc="098A4CD8">
      <w:start w:val="1"/>
      <w:numFmt w:val="bullet"/>
      <w:lvlText w:val="•"/>
      <w:lvlJc w:val="left"/>
      <w:pPr>
        <w:tabs>
          <w:tab w:val="num" w:pos="360"/>
        </w:tabs>
        <w:ind w:left="360" w:hanging="360"/>
      </w:pPr>
      <w:rPr>
        <w:rFonts w:ascii="Arial" w:hAnsi="Arial" w:hint="default"/>
      </w:rPr>
    </w:lvl>
    <w:lvl w:ilvl="1" w:tplc="85466DAE" w:tentative="1">
      <w:start w:val="1"/>
      <w:numFmt w:val="bullet"/>
      <w:lvlText w:val="•"/>
      <w:lvlJc w:val="left"/>
      <w:pPr>
        <w:tabs>
          <w:tab w:val="num" w:pos="1080"/>
        </w:tabs>
        <w:ind w:left="1080" w:hanging="360"/>
      </w:pPr>
      <w:rPr>
        <w:rFonts w:ascii="Arial" w:hAnsi="Arial" w:hint="default"/>
      </w:rPr>
    </w:lvl>
    <w:lvl w:ilvl="2" w:tplc="4C467A5A" w:tentative="1">
      <w:start w:val="1"/>
      <w:numFmt w:val="bullet"/>
      <w:lvlText w:val="•"/>
      <w:lvlJc w:val="left"/>
      <w:pPr>
        <w:tabs>
          <w:tab w:val="num" w:pos="1800"/>
        </w:tabs>
        <w:ind w:left="1800" w:hanging="360"/>
      </w:pPr>
      <w:rPr>
        <w:rFonts w:ascii="Arial" w:hAnsi="Arial" w:hint="default"/>
      </w:rPr>
    </w:lvl>
    <w:lvl w:ilvl="3" w:tplc="5930F8AE" w:tentative="1">
      <w:start w:val="1"/>
      <w:numFmt w:val="bullet"/>
      <w:lvlText w:val="•"/>
      <w:lvlJc w:val="left"/>
      <w:pPr>
        <w:tabs>
          <w:tab w:val="num" w:pos="2520"/>
        </w:tabs>
        <w:ind w:left="2520" w:hanging="360"/>
      </w:pPr>
      <w:rPr>
        <w:rFonts w:ascii="Arial" w:hAnsi="Arial" w:hint="default"/>
      </w:rPr>
    </w:lvl>
    <w:lvl w:ilvl="4" w:tplc="F5A2F5F4" w:tentative="1">
      <w:start w:val="1"/>
      <w:numFmt w:val="bullet"/>
      <w:lvlText w:val="•"/>
      <w:lvlJc w:val="left"/>
      <w:pPr>
        <w:tabs>
          <w:tab w:val="num" w:pos="3240"/>
        </w:tabs>
        <w:ind w:left="3240" w:hanging="360"/>
      </w:pPr>
      <w:rPr>
        <w:rFonts w:ascii="Arial" w:hAnsi="Arial" w:hint="default"/>
      </w:rPr>
    </w:lvl>
    <w:lvl w:ilvl="5" w:tplc="3C2E4350" w:tentative="1">
      <w:start w:val="1"/>
      <w:numFmt w:val="bullet"/>
      <w:lvlText w:val="•"/>
      <w:lvlJc w:val="left"/>
      <w:pPr>
        <w:tabs>
          <w:tab w:val="num" w:pos="3960"/>
        </w:tabs>
        <w:ind w:left="3960" w:hanging="360"/>
      </w:pPr>
      <w:rPr>
        <w:rFonts w:ascii="Arial" w:hAnsi="Arial" w:hint="default"/>
      </w:rPr>
    </w:lvl>
    <w:lvl w:ilvl="6" w:tplc="A1082472" w:tentative="1">
      <w:start w:val="1"/>
      <w:numFmt w:val="bullet"/>
      <w:lvlText w:val="•"/>
      <w:lvlJc w:val="left"/>
      <w:pPr>
        <w:tabs>
          <w:tab w:val="num" w:pos="4680"/>
        </w:tabs>
        <w:ind w:left="4680" w:hanging="360"/>
      </w:pPr>
      <w:rPr>
        <w:rFonts w:ascii="Arial" w:hAnsi="Arial" w:hint="default"/>
      </w:rPr>
    </w:lvl>
    <w:lvl w:ilvl="7" w:tplc="79FAF74C" w:tentative="1">
      <w:start w:val="1"/>
      <w:numFmt w:val="bullet"/>
      <w:lvlText w:val="•"/>
      <w:lvlJc w:val="left"/>
      <w:pPr>
        <w:tabs>
          <w:tab w:val="num" w:pos="5400"/>
        </w:tabs>
        <w:ind w:left="5400" w:hanging="360"/>
      </w:pPr>
      <w:rPr>
        <w:rFonts w:ascii="Arial" w:hAnsi="Arial" w:hint="default"/>
      </w:rPr>
    </w:lvl>
    <w:lvl w:ilvl="8" w:tplc="D1122CFA"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1EB30AE"/>
    <w:multiLevelType w:val="hybridMultilevel"/>
    <w:tmpl w:val="9E2A44E0"/>
    <w:lvl w:ilvl="0" w:tplc="C01C6DB2">
      <w:start w:val="1"/>
      <w:numFmt w:val="bullet"/>
      <w:lvlText w:val="•"/>
      <w:lvlJc w:val="left"/>
      <w:pPr>
        <w:tabs>
          <w:tab w:val="num" w:pos="720"/>
        </w:tabs>
        <w:ind w:left="720" w:hanging="360"/>
      </w:pPr>
      <w:rPr>
        <w:rFonts w:ascii="Arial" w:hAnsi="Arial" w:hint="default"/>
      </w:rPr>
    </w:lvl>
    <w:lvl w:ilvl="1" w:tplc="B9B2533E" w:tentative="1">
      <w:start w:val="1"/>
      <w:numFmt w:val="bullet"/>
      <w:lvlText w:val="•"/>
      <w:lvlJc w:val="left"/>
      <w:pPr>
        <w:tabs>
          <w:tab w:val="num" w:pos="1440"/>
        </w:tabs>
        <w:ind w:left="1440" w:hanging="360"/>
      </w:pPr>
      <w:rPr>
        <w:rFonts w:ascii="Arial" w:hAnsi="Arial" w:hint="default"/>
      </w:rPr>
    </w:lvl>
    <w:lvl w:ilvl="2" w:tplc="DC2C0150" w:tentative="1">
      <w:start w:val="1"/>
      <w:numFmt w:val="bullet"/>
      <w:lvlText w:val="•"/>
      <w:lvlJc w:val="left"/>
      <w:pPr>
        <w:tabs>
          <w:tab w:val="num" w:pos="2160"/>
        </w:tabs>
        <w:ind w:left="2160" w:hanging="360"/>
      </w:pPr>
      <w:rPr>
        <w:rFonts w:ascii="Arial" w:hAnsi="Arial" w:hint="default"/>
      </w:rPr>
    </w:lvl>
    <w:lvl w:ilvl="3" w:tplc="972600CA" w:tentative="1">
      <w:start w:val="1"/>
      <w:numFmt w:val="bullet"/>
      <w:lvlText w:val="•"/>
      <w:lvlJc w:val="left"/>
      <w:pPr>
        <w:tabs>
          <w:tab w:val="num" w:pos="2880"/>
        </w:tabs>
        <w:ind w:left="2880" w:hanging="360"/>
      </w:pPr>
      <w:rPr>
        <w:rFonts w:ascii="Arial" w:hAnsi="Arial" w:hint="default"/>
      </w:rPr>
    </w:lvl>
    <w:lvl w:ilvl="4" w:tplc="C2E66658" w:tentative="1">
      <w:start w:val="1"/>
      <w:numFmt w:val="bullet"/>
      <w:lvlText w:val="•"/>
      <w:lvlJc w:val="left"/>
      <w:pPr>
        <w:tabs>
          <w:tab w:val="num" w:pos="3600"/>
        </w:tabs>
        <w:ind w:left="3600" w:hanging="360"/>
      </w:pPr>
      <w:rPr>
        <w:rFonts w:ascii="Arial" w:hAnsi="Arial" w:hint="default"/>
      </w:rPr>
    </w:lvl>
    <w:lvl w:ilvl="5" w:tplc="D44C19D4" w:tentative="1">
      <w:start w:val="1"/>
      <w:numFmt w:val="bullet"/>
      <w:lvlText w:val="•"/>
      <w:lvlJc w:val="left"/>
      <w:pPr>
        <w:tabs>
          <w:tab w:val="num" w:pos="4320"/>
        </w:tabs>
        <w:ind w:left="4320" w:hanging="360"/>
      </w:pPr>
      <w:rPr>
        <w:rFonts w:ascii="Arial" w:hAnsi="Arial" w:hint="default"/>
      </w:rPr>
    </w:lvl>
    <w:lvl w:ilvl="6" w:tplc="5234F078" w:tentative="1">
      <w:start w:val="1"/>
      <w:numFmt w:val="bullet"/>
      <w:lvlText w:val="•"/>
      <w:lvlJc w:val="left"/>
      <w:pPr>
        <w:tabs>
          <w:tab w:val="num" w:pos="5040"/>
        </w:tabs>
        <w:ind w:left="5040" w:hanging="360"/>
      </w:pPr>
      <w:rPr>
        <w:rFonts w:ascii="Arial" w:hAnsi="Arial" w:hint="default"/>
      </w:rPr>
    </w:lvl>
    <w:lvl w:ilvl="7" w:tplc="D0F4CA9C" w:tentative="1">
      <w:start w:val="1"/>
      <w:numFmt w:val="bullet"/>
      <w:lvlText w:val="•"/>
      <w:lvlJc w:val="left"/>
      <w:pPr>
        <w:tabs>
          <w:tab w:val="num" w:pos="5760"/>
        </w:tabs>
        <w:ind w:left="5760" w:hanging="360"/>
      </w:pPr>
      <w:rPr>
        <w:rFonts w:ascii="Arial" w:hAnsi="Arial" w:hint="default"/>
      </w:rPr>
    </w:lvl>
    <w:lvl w:ilvl="8" w:tplc="7DB043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D45992"/>
    <w:multiLevelType w:val="hybridMultilevel"/>
    <w:tmpl w:val="EDAC95B4"/>
    <w:lvl w:ilvl="0" w:tplc="BECE73E6">
      <w:start w:val="1"/>
      <w:numFmt w:val="bullet"/>
      <w:lvlText w:val="•"/>
      <w:lvlJc w:val="left"/>
      <w:pPr>
        <w:tabs>
          <w:tab w:val="num" w:pos="720"/>
        </w:tabs>
        <w:ind w:left="720" w:hanging="360"/>
      </w:pPr>
      <w:rPr>
        <w:rFonts w:ascii="Arial" w:hAnsi="Arial" w:hint="default"/>
      </w:rPr>
    </w:lvl>
    <w:lvl w:ilvl="1" w:tplc="C5CCA638" w:tentative="1">
      <w:start w:val="1"/>
      <w:numFmt w:val="bullet"/>
      <w:lvlText w:val="•"/>
      <w:lvlJc w:val="left"/>
      <w:pPr>
        <w:tabs>
          <w:tab w:val="num" w:pos="1440"/>
        </w:tabs>
        <w:ind w:left="1440" w:hanging="360"/>
      </w:pPr>
      <w:rPr>
        <w:rFonts w:ascii="Arial" w:hAnsi="Arial" w:hint="default"/>
      </w:rPr>
    </w:lvl>
    <w:lvl w:ilvl="2" w:tplc="30CC6FC8" w:tentative="1">
      <w:start w:val="1"/>
      <w:numFmt w:val="bullet"/>
      <w:lvlText w:val="•"/>
      <w:lvlJc w:val="left"/>
      <w:pPr>
        <w:tabs>
          <w:tab w:val="num" w:pos="2160"/>
        </w:tabs>
        <w:ind w:left="2160" w:hanging="360"/>
      </w:pPr>
      <w:rPr>
        <w:rFonts w:ascii="Arial" w:hAnsi="Arial" w:hint="default"/>
      </w:rPr>
    </w:lvl>
    <w:lvl w:ilvl="3" w:tplc="C8563F92" w:tentative="1">
      <w:start w:val="1"/>
      <w:numFmt w:val="bullet"/>
      <w:lvlText w:val="•"/>
      <w:lvlJc w:val="left"/>
      <w:pPr>
        <w:tabs>
          <w:tab w:val="num" w:pos="2880"/>
        </w:tabs>
        <w:ind w:left="2880" w:hanging="360"/>
      </w:pPr>
      <w:rPr>
        <w:rFonts w:ascii="Arial" w:hAnsi="Arial" w:hint="default"/>
      </w:rPr>
    </w:lvl>
    <w:lvl w:ilvl="4" w:tplc="3DC635FE" w:tentative="1">
      <w:start w:val="1"/>
      <w:numFmt w:val="bullet"/>
      <w:lvlText w:val="•"/>
      <w:lvlJc w:val="left"/>
      <w:pPr>
        <w:tabs>
          <w:tab w:val="num" w:pos="3600"/>
        </w:tabs>
        <w:ind w:left="3600" w:hanging="360"/>
      </w:pPr>
      <w:rPr>
        <w:rFonts w:ascii="Arial" w:hAnsi="Arial" w:hint="default"/>
      </w:rPr>
    </w:lvl>
    <w:lvl w:ilvl="5" w:tplc="E3CEF820" w:tentative="1">
      <w:start w:val="1"/>
      <w:numFmt w:val="bullet"/>
      <w:lvlText w:val="•"/>
      <w:lvlJc w:val="left"/>
      <w:pPr>
        <w:tabs>
          <w:tab w:val="num" w:pos="4320"/>
        </w:tabs>
        <w:ind w:left="4320" w:hanging="360"/>
      </w:pPr>
      <w:rPr>
        <w:rFonts w:ascii="Arial" w:hAnsi="Arial" w:hint="default"/>
      </w:rPr>
    </w:lvl>
    <w:lvl w:ilvl="6" w:tplc="7422B544" w:tentative="1">
      <w:start w:val="1"/>
      <w:numFmt w:val="bullet"/>
      <w:lvlText w:val="•"/>
      <w:lvlJc w:val="left"/>
      <w:pPr>
        <w:tabs>
          <w:tab w:val="num" w:pos="5040"/>
        </w:tabs>
        <w:ind w:left="5040" w:hanging="360"/>
      </w:pPr>
      <w:rPr>
        <w:rFonts w:ascii="Arial" w:hAnsi="Arial" w:hint="default"/>
      </w:rPr>
    </w:lvl>
    <w:lvl w:ilvl="7" w:tplc="6C429820" w:tentative="1">
      <w:start w:val="1"/>
      <w:numFmt w:val="bullet"/>
      <w:lvlText w:val="•"/>
      <w:lvlJc w:val="left"/>
      <w:pPr>
        <w:tabs>
          <w:tab w:val="num" w:pos="5760"/>
        </w:tabs>
        <w:ind w:left="5760" w:hanging="360"/>
      </w:pPr>
      <w:rPr>
        <w:rFonts w:ascii="Arial" w:hAnsi="Arial" w:hint="default"/>
      </w:rPr>
    </w:lvl>
    <w:lvl w:ilvl="8" w:tplc="8CA8AD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514262"/>
    <w:multiLevelType w:val="hybridMultilevel"/>
    <w:tmpl w:val="E6CE1D18"/>
    <w:lvl w:ilvl="0" w:tplc="76BA4A58">
      <w:start w:val="1"/>
      <w:numFmt w:val="bullet"/>
      <w:lvlText w:val="•"/>
      <w:lvlJc w:val="left"/>
      <w:pPr>
        <w:tabs>
          <w:tab w:val="num" w:pos="720"/>
        </w:tabs>
        <w:ind w:left="720" w:hanging="360"/>
      </w:pPr>
      <w:rPr>
        <w:rFonts w:ascii="Arial" w:hAnsi="Arial" w:hint="default"/>
      </w:rPr>
    </w:lvl>
    <w:lvl w:ilvl="1" w:tplc="78107E08" w:tentative="1">
      <w:start w:val="1"/>
      <w:numFmt w:val="bullet"/>
      <w:lvlText w:val="•"/>
      <w:lvlJc w:val="left"/>
      <w:pPr>
        <w:tabs>
          <w:tab w:val="num" w:pos="1440"/>
        </w:tabs>
        <w:ind w:left="1440" w:hanging="360"/>
      </w:pPr>
      <w:rPr>
        <w:rFonts w:ascii="Arial" w:hAnsi="Arial" w:hint="default"/>
      </w:rPr>
    </w:lvl>
    <w:lvl w:ilvl="2" w:tplc="74880108" w:tentative="1">
      <w:start w:val="1"/>
      <w:numFmt w:val="bullet"/>
      <w:lvlText w:val="•"/>
      <w:lvlJc w:val="left"/>
      <w:pPr>
        <w:tabs>
          <w:tab w:val="num" w:pos="2160"/>
        </w:tabs>
        <w:ind w:left="2160" w:hanging="360"/>
      </w:pPr>
      <w:rPr>
        <w:rFonts w:ascii="Arial" w:hAnsi="Arial" w:hint="default"/>
      </w:rPr>
    </w:lvl>
    <w:lvl w:ilvl="3" w:tplc="0C520412" w:tentative="1">
      <w:start w:val="1"/>
      <w:numFmt w:val="bullet"/>
      <w:lvlText w:val="•"/>
      <w:lvlJc w:val="left"/>
      <w:pPr>
        <w:tabs>
          <w:tab w:val="num" w:pos="2880"/>
        </w:tabs>
        <w:ind w:left="2880" w:hanging="360"/>
      </w:pPr>
      <w:rPr>
        <w:rFonts w:ascii="Arial" w:hAnsi="Arial" w:hint="default"/>
      </w:rPr>
    </w:lvl>
    <w:lvl w:ilvl="4" w:tplc="A970B15C" w:tentative="1">
      <w:start w:val="1"/>
      <w:numFmt w:val="bullet"/>
      <w:lvlText w:val="•"/>
      <w:lvlJc w:val="left"/>
      <w:pPr>
        <w:tabs>
          <w:tab w:val="num" w:pos="3600"/>
        </w:tabs>
        <w:ind w:left="3600" w:hanging="360"/>
      </w:pPr>
      <w:rPr>
        <w:rFonts w:ascii="Arial" w:hAnsi="Arial" w:hint="default"/>
      </w:rPr>
    </w:lvl>
    <w:lvl w:ilvl="5" w:tplc="BD0A978E" w:tentative="1">
      <w:start w:val="1"/>
      <w:numFmt w:val="bullet"/>
      <w:lvlText w:val="•"/>
      <w:lvlJc w:val="left"/>
      <w:pPr>
        <w:tabs>
          <w:tab w:val="num" w:pos="4320"/>
        </w:tabs>
        <w:ind w:left="4320" w:hanging="360"/>
      </w:pPr>
      <w:rPr>
        <w:rFonts w:ascii="Arial" w:hAnsi="Arial" w:hint="default"/>
      </w:rPr>
    </w:lvl>
    <w:lvl w:ilvl="6" w:tplc="96106246" w:tentative="1">
      <w:start w:val="1"/>
      <w:numFmt w:val="bullet"/>
      <w:lvlText w:val="•"/>
      <w:lvlJc w:val="left"/>
      <w:pPr>
        <w:tabs>
          <w:tab w:val="num" w:pos="5040"/>
        </w:tabs>
        <w:ind w:left="5040" w:hanging="360"/>
      </w:pPr>
      <w:rPr>
        <w:rFonts w:ascii="Arial" w:hAnsi="Arial" w:hint="default"/>
      </w:rPr>
    </w:lvl>
    <w:lvl w:ilvl="7" w:tplc="78F0191E" w:tentative="1">
      <w:start w:val="1"/>
      <w:numFmt w:val="bullet"/>
      <w:lvlText w:val="•"/>
      <w:lvlJc w:val="left"/>
      <w:pPr>
        <w:tabs>
          <w:tab w:val="num" w:pos="5760"/>
        </w:tabs>
        <w:ind w:left="5760" w:hanging="360"/>
      </w:pPr>
      <w:rPr>
        <w:rFonts w:ascii="Arial" w:hAnsi="Arial" w:hint="default"/>
      </w:rPr>
    </w:lvl>
    <w:lvl w:ilvl="8" w:tplc="0AFCC962" w:tentative="1">
      <w:start w:val="1"/>
      <w:numFmt w:val="bullet"/>
      <w:lvlText w:val="•"/>
      <w:lvlJc w:val="left"/>
      <w:pPr>
        <w:tabs>
          <w:tab w:val="num" w:pos="6480"/>
        </w:tabs>
        <w:ind w:left="6480" w:hanging="360"/>
      </w:pPr>
      <w:rPr>
        <w:rFonts w:ascii="Arial" w:hAnsi="Arial" w:hint="default"/>
      </w:rPr>
    </w:lvl>
  </w:abstractNum>
  <w:num w:numId="1" w16cid:durableId="1151798159">
    <w:abstractNumId w:val="8"/>
  </w:num>
  <w:num w:numId="2" w16cid:durableId="1680739307">
    <w:abstractNumId w:val="6"/>
  </w:num>
  <w:num w:numId="3" w16cid:durableId="87391601">
    <w:abstractNumId w:val="5"/>
  </w:num>
  <w:num w:numId="4" w16cid:durableId="95488457">
    <w:abstractNumId w:val="4"/>
  </w:num>
  <w:num w:numId="5" w16cid:durableId="780606089">
    <w:abstractNumId w:val="7"/>
  </w:num>
  <w:num w:numId="6" w16cid:durableId="414328952">
    <w:abstractNumId w:val="3"/>
  </w:num>
  <w:num w:numId="7" w16cid:durableId="665864087">
    <w:abstractNumId w:val="2"/>
  </w:num>
  <w:num w:numId="8" w16cid:durableId="1921452038">
    <w:abstractNumId w:val="1"/>
  </w:num>
  <w:num w:numId="9" w16cid:durableId="1547990072">
    <w:abstractNumId w:val="0"/>
  </w:num>
  <w:num w:numId="10" w16cid:durableId="2099325224">
    <w:abstractNumId w:val="11"/>
  </w:num>
  <w:num w:numId="11" w16cid:durableId="2083721495">
    <w:abstractNumId w:val="10"/>
  </w:num>
  <w:num w:numId="12" w16cid:durableId="911742793">
    <w:abstractNumId w:val="9"/>
  </w:num>
  <w:num w:numId="13" w16cid:durableId="312950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C7D"/>
    <w:rsid w:val="000101F3"/>
    <w:rsid w:val="0001356E"/>
    <w:rsid w:val="0003082E"/>
    <w:rsid w:val="00034616"/>
    <w:rsid w:val="00035561"/>
    <w:rsid w:val="00036135"/>
    <w:rsid w:val="00037C46"/>
    <w:rsid w:val="00041052"/>
    <w:rsid w:val="000421CA"/>
    <w:rsid w:val="000426F1"/>
    <w:rsid w:val="00044DFB"/>
    <w:rsid w:val="0005565E"/>
    <w:rsid w:val="0006063C"/>
    <w:rsid w:val="00075CD6"/>
    <w:rsid w:val="00081D53"/>
    <w:rsid w:val="00083AA3"/>
    <w:rsid w:val="000858A5"/>
    <w:rsid w:val="0008729C"/>
    <w:rsid w:val="00091144"/>
    <w:rsid w:val="0009727F"/>
    <w:rsid w:val="000A507A"/>
    <w:rsid w:val="000B19D3"/>
    <w:rsid w:val="000B2B4C"/>
    <w:rsid w:val="000B32B2"/>
    <w:rsid w:val="000B414A"/>
    <w:rsid w:val="000C4252"/>
    <w:rsid w:val="000C58D3"/>
    <w:rsid w:val="000D733A"/>
    <w:rsid w:val="000E212B"/>
    <w:rsid w:val="000E2793"/>
    <w:rsid w:val="000E6243"/>
    <w:rsid w:val="00103048"/>
    <w:rsid w:val="001036FE"/>
    <w:rsid w:val="00105E30"/>
    <w:rsid w:val="0011311E"/>
    <w:rsid w:val="001133D1"/>
    <w:rsid w:val="00121516"/>
    <w:rsid w:val="00132288"/>
    <w:rsid w:val="00134622"/>
    <w:rsid w:val="0015074B"/>
    <w:rsid w:val="00151340"/>
    <w:rsid w:val="001618BE"/>
    <w:rsid w:val="00164AB3"/>
    <w:rsid w:val="001700D8"/>
    <w:rsid w:val="00174689"/>
    <w:rsid w:val="00195920"/>
    <w:rsid w:val="001A4019"/>
    <w:rsid w:val="001A58B5"/>
    <w:rsid w:val="001B0BB1"/>
    <w:rsid w:val="001B5CD5"/>
    <w:rsid w:val="001B7406"/>
    <w:rsid w:val="001C3324"/>
    <w:rsid w:val="001C3AA7"/>
    <w:rsid w:val="001C719B"/>
    <w:rsid w:val="001F078A"/>
    <w:rsid w:val="001F24D5"/>
    <w:rsid w:val="001F2CE5"/>
    <w:rsid w:val="001F5FC1"/>
    <w:rsid w:val="00201F10"/>
    <w:rsid w:val="002052F7"/>
    <w:rsid w:val="00223A84"/>
    <w:rsid w:val="00224AD7"/>
    <w:rsid w:val="00240237"/>
    <w:rsid w:val="00242FC0"/>
    <w:rsid w:val="0025742F"/>
    <w:rsid w:val="00264FF6"/>
    <w:rsid w:val="002910A3"/>
    <w:rsid w:val="0029639D"/>
    <w:rsid w:val="002A4887"/>
    <w:rsid w:val="002B150E"/>
    <w:rsid w:val="002B1629"/>
    <w:rsid w:val="002D16A8"/>
    <w:rsid w:val="002D256D"/>
    <w:rsid w:val="002D6B1A"/>
    <w:rsid w:val="00304833"/>
    <w:rsid w:val="00307392"/>
    <w:rsid w:val="00323016"/>
    <w:rsid w:val="00325771"/>
    <w:rsid w:val="00326F90"/>
    <w:rsid w:val="00351270"/>
    <w:rsid w:val="003537AF"/>
    <w:rsid w:val="003560F7"/>
    <w:rsid w:val="00370E75"/>
    <w:rsid w:val="00372B3A"/>
    <w:rsid w:val="00373C4E"/>
    <w:rsid w:val="00375D2F"/>
    <w:rsid w:val="00377D07"/>
    <w:rsid w:val="003904D8"/>
    <w:rsid w:val="00395ED7"/>
    <w:rsid w:val="003B3696"/>
    <w:rsid w:val="003E21CC"/>
    <w:rsid w:val="003E2CE8"/>
    <w:rsid w:val="003E3E5E"/>
    <w:rsid w:val="003F0F89"/>
    <w:rsid w:val="00417BD4"/>
    <w:rsid w:val="00422D6E"/>
    <w:rsid w:val="00427DC1"/>
    <w:rsid w:val="00430589"/>
    <w:rsid w:val="00441698"/>
    <w:rsid w:val="004627D1"/>
    <w:rsid w:val="00463530"/>
    <w:rsid w:val="0047484E"/>
    <w:rsid w:val="00487AAF"/>
    <w:rsid w:val="004A62D7"/>
    <w:rsid w:val="004A79B4"/>
    <w:rsid w:val="004B2CBD"/>
    <w:rsid w:val="004B6A7D"/>
    <w:rsid w:val="004C00DA"/>
    <w:rsid w:val="004C042C"/>
    <w:rsid w:val="004C778F"/>
    <w:rsid w:val="004E7DC7"/>
    <w:rsid w:val="004F0C28"/>
    <w:rsid w:val="004F428B"/>
    <w:rsid w:val="005007DF"/>
    <w:rsid w:val="0051453C"/>
    <w:rsid w:val="00516DEB"/>
    <w:rsid w:val="0052571E"/>
    <w:rsid w:val="00536430"/>
    <w:rsid w:val="005612A5"/>
    <w:rsid w:val="005647F2"/>
    <w:rsid w:val="0057732F"/>
    <w:rsid w:val="0058654B"/>
    <w:rsid w:val="005958E8"/>
    <w:rsid w:val="005A5975"/>
    <w:rsid w:val="005B1F73"/>
    <w:rsid w:val="005D6367"/>
    <w:rsid w:val="005E25BD"/>
    <w:rsid w:val="005F3999"/>
    <w:rsid w:val="005F52BD"/>
    <w:rsid w:val="005F786E"/>
    <w:rsid w:val="006019AA"/>
    <w:rsid w:val="00604648"/>
    <w:rsid w:val="006046E2"/>
    <w:rsid w:val="00605A92"/>
    <w:rsid w:val="00613691"/>
    <w:rsid w:val="00613A1B"/>
    <w:rsid w:val="00617F34"/>
    <w:rsid w:val="0062306D"/>
    <w:rsid w:val="00624C6D"/>
    <w:rsid w:val="00632AB5"/>
    <w:rsid w:val="006420B4"/>
    <w:rsid w:val="00657DF8"/>
    <w:rsid w:val="00664BF4"/>
    <w:rsid w:val="00666EC5"/>
    <w:rsid w:val="0067126A"/>
    <w:rsid w:val="0067719A"/>
    <w:rsid w:val="00690B6F"/>
    <w:rsid w:val="006925A0"/>
    <w:rsid w:val="006A0091"/>
    <w:rsid w:val="006A09D5"/>
    <w:rsid w:val="006B055E"/>
    <w:rsid w:val="006C1ABE"/>
    <w:rsid w:val="006C7D43"/>
    <w:rsid w:val="006C7FD8"/>
    <w:rsid w:val="006D09DA"/>
    <w:rsid w:val="006F5B14"/>
    <w:rsid w:val="007004C4"/>
    <w:rsid w:val="00706EE8"/>
    <w:rsid w:val="007078EB"/>
    <w:rsid w:val="00712540"/>
    <w:rsid w:val="00720447"/>
    <w:rsid w:val="00723985"/>
    <w:rsid w:val="00726BBD"/>
    <w:rsid w:val="00727F9C"/>
    <w:rsid w:val="00740A9B"/>
    <w:rsid w:val="00743436"/>
    <w:rsid w:val="007442E8"/>
    <w:rsid w:val="007624F1"/>
    <w:rsid w:val="00770C10"/>
    <w:rsid w:val="00787E91"/>
    <w:rsid w:val="00791BF1"/>
    <w:rsid w:val="007A6E84"/>
    <w:rsid w:val="007B1276"/>
    <w:rsid w:val="007B6DDE"/>
    <w:rsid w:val="007C3993"/>
    <w:rsid w:val="007E277A"/>
    <w:rsid w:val="007E56B1"/>
    <w:rsid w:val="00800748"/>
    <w:rsid w:val="00801C23"/>
    <w:rsid w:val="0080247A"/>
    <w:rsid w:val="0081275C"/>
    <w:rsid w:val="00820D98"/>
    <w:rsid w:val="008233C7"/>
    <w:rsid w:val="0082438D"/>
    <w:rsid w:val="008334C4"/>
    <w:rsid w:val="008441B4"/>
    <w:rsid w:val="00845823"/>
    <w:rsid w:val="00847BFE"/>
    <w:rsid w:val="0086469A"/>
    <w:rsid w:val="0086666A"/>
    <w:rsid w:val="00867311"/>
    <w:rsid w:val="008741EF"/>
    <w:rsid w:val="00877C94"/>
    <w:rsid w:val="00885CF3"/>
    <w:rsid w:val="008A392A"/>
    <w:rsid w:val="008A64EA"/>
    <w:rsid w:val="008B5B4C"/>
    <w:rsid w:val="008B7E10"/>
    <w:rsid w:val="008C1F00"/>
    <w:rsid w:val="008D6425"/>
    <w:rsid w:val="008E063C"/>
    <w:rsid w:val="008E0F96"/>
    <w:rsid w:val="008E5612"/>
    <w:rsid w:val="008F1733"/>
    <w:rsid w:val="008F5601"/>
    <w:rsid w:val="00900173"/>
    <w:rsid w:val="00901B4D"/>
    <w:rsid w:val="00903FEE"/>
    <w:rsid w:val="00907C55"/>
    <w:rsid w:val="009157D2"/>
    <w:rsid w:val="00937F11"/>
    <w:rsid w:val="00941134"/>
    <w:rsid w:val="009502EF"/>
    <w:rsid w:val="00957434"/>
    <w:rsid w:val="00957F12"/>
    <w:rsid w:val="0096130B"/>
    <w:rsid w:val="00961585"/>
    <w:rsid w:val="00965E75"/>
    <w:rsid w:val="009732D2"/>
    <w:rsid w:val="0098151D"/>
    <w:rsid w:val="0098410D"/>
    <w:rsid w:val="009A7EB4"/>
    <w:rsid w:val="009D64EA"/>
    <w:rsid w:val="009E2D1C"/>
    <w:rsid w:val="009F22F5"/>
    <w:rsid w:val="009F3D4B"/>
    <w:rsid w:val="009F4B20"/>
    <w:rsid w:val="009F573C"/>
    <w:rsid w:val="00A01265"/>
    <w:rsid w:val="00A50736"/>
    <w:rsid w:val="00A53CB2"/>
    <w:rsid w:val="00A5745D"/>
    <w:rsid w:val="00A667B6"/>
    <w:rsid w:val="00A70948"/>
    <w:rsid w:val="00A74747"/>
    <w:rsid w:val="00A83603"/>
    <w:rsid w:val="00A87202"/>
    <w:rsid w:val="00A92EA0"/>
    <w:rsid w:val="00A92FC6"/>
    <w:rsid w:val="00AA1D8D"/>
    <w:rsid w:val="00AA2221"/>
    <w:rsid w:val="00AA62C5"/>
    <w:rsid w:val="00AA6342"/>
    <w:rsid w:val="00AA6E9A"/>
    <w:rsid w:val="00AC54C3"/>
    <w:rsid w:val="00AD1E18"/>
    <w:rsid w:val="00AD1EEB"/>
    <w:rsid w:val="00AD3512"/>
    <w:rsid w:val="00AD442F"/>
    <w:rsid w:val="00AD6B41"/>
    <w:rsid w:val="00AF280E"/>
    <w:rsid w:val="00AF5BB2"/>
    <w:rsid w:val="00B00A3A"/>
    <w:rsid w:val="00B13A89"/>
    <w:rsid w:val="00B13FF8"/>
    <w:rsid w:val="00B15FFB"/>
    <w:rsid w:val="00B26BE3"/>
    <w:rsid w:val="00B333EA"/>
    <w:rsid w:val="00B40906"/>
    <w:rsid w:val="00B471DE"/>
    <w:rsid w:val="00B47730"/>
    <w:rsid w:val="00B537EA"/>
    <w:rsid w:val="00B644D4"/>
    <w:rsid w:val="00B67E03"/>
    <w:rsid w:val="00B7128B"/>
    <w:rsid w:val="00B73030"/>
    <w:rsid w:val="00B828F4"/>
    <w:rsid w:val="00B94F88"/>
    <w:rsid w:val="00B96424"/>
    <w:rsid w:val="00B97FDB"/>
    <w:rsid w:val="00BB1224"/>
    <w:rsid w:val="00BB1392"/>
    <w:rsid w:val="00BB4569"/>
    <w:rsid w:val="00BC1368"/>
    <w:rsid w:val="00BC2305"/>
    <w:rsid w:val="00BC5461"/>
    <w:rsid w:val="00BC6B8F"/>
    <w:rsid w:val="00BD4123"/>
    <w:rsid w:val="00BE52E3"/>
    <w:rsid w:val="00BE6656"/>
    <w:rsid w:val="00BF275B"/>
    <w:rsid w:val="00C002CD"/>
    <w:rsid w:val="00C03EB4"/>
    <w:rsid w:val="00C06C3E"/>
    <w:rsid w:val="00C11154"/>
    <w:rsid w:val="00C11F67"/>
    <w:rsid w:val="00C12339"/>
    <w:rsid w:val="00C13E6F"/>
    <w:rsid w:val="00C17426"/>
    <w:rsid w:val="00C26FBD"/>
    <w:rsid w:val="00C325DF"/>
    <w:rsid w:val="00C33044"/>
    <w:rsid w:val="00C50C9E"/>
    <w:rsid w:val="00C56731"/>
    <w:rsid w:val="00C636A2"/>
    <w:rsid w:val="00C90970"/>
    <w:rsid w:val="00CB0664"/>
    <w:rsid w:val="00CB38A8"/>
    <w:rsid w:val="00CC5058"/>
    <w:rsid w:val="00CE296F"/>
    <w:rsid w:val="00CF1F34"/>
    <w:rsid w:val="00D053F8"/>
    <w:rsid w:val="00D054DD"/>
    <w:rsid w:val="00D06BDD"/>
    <w:rsid w:val="00D07685"/>
    <w:rsid w:val="00D212B4"/>
    <w:rsid w:val="00D22A99"/>
    <w:rsid w:val="00D239F5"/>
    <w:rsid w:val="00D24EF5"/>
    <w:rsid w:val="00D25C00"/>
    <w:rsid w:val="00D40584"/>
    <w:rsid w:val="00D52F01"/>
    <w:rsid w:val="00D57CDE"/>
    <w:rsid w:val="00D65916"/>
    <w:rsid w:val="00D77816"/>
    <w:rsid w:val="00D9211F"/>
    <w:rsid w:val="00DB0999"/>
    <w:rsid w:val="00DB1D08"/>
    <w:rsid w:val="00DC273F"/>
    <w:rsid w:val="00DD08D4"/>
    <w:rsid w:val="00DD0EBF"/>
    <w:rsid w:val="00DE07A1"/>
    <w:rsid w:val="00DE2743"/>
    <w:rsid w:val="00DE29B5"/>
    <w:rsid w:val="00DE73EF"/>
    <w:rsid w:val="00DF4384"/>
    <w:rsid w:val="00DF68BB"/>
    <w:rsid w:val="00E1275C"/>
    <w:rsid w:val="00E21C2E"/>
    <w:rsid w:val="00E279C7"/>
    <w:rsid w:val="00E36C35"/>
    <w:rsid w:val="00E4237B"/>
    <w:rsid w:val="00E5162B"/>
    <w:rsid w:val="00E533E4"/>
    <w:rsid w:val="00E7231A"/>
    <w:rsid w:val="00E81AC5"/>
    <w:rsid w:val="00EA2F17"/>
    <w:rsid w:val="00EB00B1"/>
    <w:rsid w:val="00EB3CFF"/>
    <w:rsid w:val="00ED083E"/>
    <w:rsid w:val="00ED205F"/>
    <w:rsid w:val="00ED3293"/>
    <w:rsid w:val="00ED388A"/>
    <w:rsid w:val="00ED4527"/>
    <w:rsid w:val="00ED567C"/>
    <w:rsid w:val="00EE3F17"/>
    <w:rsid w:val="00EF4B51"/>
    <w:rsid w:val="00F007F1"/>
    <w:rsid w:val="00F14ADB"/>
    <w:rsid w:val="00F15843"/>
    <w:rsid w:val="00F203DF"/>
    <w:rsid w:val="00F2180E"/>
    <w:rsid w:val="00F53532"/>
    <w:rsid w:val="00F55C8E"/>
    <w:rsid w:val="00F647D8"/>
    <w:rsid w:val="00F65DCE"/>
    <w:rsid w:val="00F7084F"/>
    <w:rsid w:val="00F8344F"/>
    <w:rsid w:val="00F902AC"/>
    <w:rsid w:val="00F97996"/>
    <w:rsid w:val="00FA5A7C"/>
    <w:rsid w:val="00FA70A4"/>
    <w:rsid w:val="00FB463A"/>
    <w:rsid w:val="00FB4AA9"/>
    <w:rsid w:val="00FB547F"/>
    <w:rsid w:val="00FC0C3C"/>
    <w:rsid w:val="00FC693F"/>
    <w:rsid w:val="00FD3288"/>
    <w:rsid w:val="00FE4A65"/>
    <w:rsid w:val="00FF3518"/>
    <w:rsid w:val="00FF6987"/>
    <w:rsid w:val="00FF7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ACD12"/>
  <w14:defaultImageDpi w14:val="300"/>
  <w15:docId w15:val="{9E648B67-E34D-BC4E-9F1B-AB0CE660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3">
    <w:name w:val="Grid Table 4 Accent 3"/>
    <w:basedOn w:val="TableNormal"/>
    <w:uiPriority w:val="49"/>
    <w:rsid w:val="00F8344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3">
    <w:name w:val="Plain Table 3"/>
    <w:basedOn w:val="TableNormal"/>
    <w:uiPriority w:val="99"/>
    <w:rsid w:val="002910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159</Pages>
  <Words>37181</Words>
  <Characters>236474</Characters>
  <Application>Microsoft Office Word</Application>
  <DocSecurity>0</DocSecurity>
  <Lines>4148</Lines>
  <Paragraphs>1440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Combs, Branden D.</cp:lastModifiedBy>
  <cp:revision>2</cp:revision>
  <dcterms:created xsi:type="dcterms:W3CDTF">2026-03-31T17:04:00Z</dcterms:created>
  <dcterms:modified xsi:type="dcterms:W3CDTF">2026-03-31T17:04:00Z</dcterms:modified>
  <cp:category/>
</cp:coreProperties>
</file>