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37D" w:rsidRPr="00265DF8" w:rsidRDefault="009F437D" w:rsidP="00BE0083">
      <w:pPr>
        <w:spacing w:after="0" w:line="240" w:lineRule="auto"/>
        <w:jc w:val="center"/>
        <w:rPr>
          <w:b/>
          <w:i/>
          <w:sz w:val="70"/>
        </w:rPr>
      </w:pPr>
      <w:r w:rsidRPr="00265DF8">
        <w:rPr>
          <w:b/>
          <w:i/>
          <w:sz w:val="70"/>
        </w:rPr>
        <w:t>Never Give Up:</w:t>
      </w:r>
    </w:p>
    <w:p w:rsidR="00BE0083" w:rsidRPr="00265DF8" w:rsidRDefault="009F437D" w:rsidP="00F04D12">
      <w:pPr>
        <w:spacing w:after="0" w:line="240" w:lineRule="auto"/>
        <w:jc w:val="center"/>
        <w:rPr>
          <w:b/>
          <w:i/>
          <w:sz w:val="70"/>
        </w:rPr>
      </w:pPr>
      <w:r w:rsidRPr="00265DF8">
        <w:rPr>
          <w:b/>
          <w:i/>
          <w:sz w:val="70"/>
        </w:rPr>
        <w:t>Human Rights Activism</w:t>
      </w:r>
      <w:r w:rsidR="00F04D12" w:rsidRPr="00265DF8">
        <w:rPr>
          <w:b/>
          <w:i/>
          <w:sz w:val="70"/>
        </w:rPr>
        <w:t xml:space="preserve"> </w:t>
      </w:r>
      <w:r w:rsidRPr="00265DF8">
        <w:rPr>
          <w:b/>
          <w:i/>
          <w:sz w:val="70"/>
        </w:rPr>
        <w:t>in Palestine</w:t>
      </w:r>
    </w:p>
    <w:p w:rsidR="00C23337" w:rsidRPr="00265DF8" w:rsidRDefault="009F437D" w:rsidP="00BE0083">
      <w:pPr>
        <w:spacing w:after="0" w:line="240" w:lineRule="auto"/>
        <w:jc w:val="center"/>
        <w:rPr>
          <w:b/>
          <w:i/>
          <w:sz w:val="70"/>
        </w:rPr>
      </w:pPr>
      <w:r w:rsidRPr="00265DF8">
        <w:rPr>
          <w:b/>
          <w:i/>
          <w:sz w:val="70"/>
        </w:rPr>
        <w:t>and the Path to Peace</w:t>
      </w:r>
    </w:p>
    <w:p w:rsidR="00F04D12" w:rsidRPr="00F04D12" w:rsidRDefault="00F04D12" w:rsidP="00BE0083">
      <w:pPr>
        <w:spacing w:after="0" w:line="240" w:lineRule="auto"/>
        <w:jc w:val="center"/>
        <w:rPr>
          <w:b/>
          <w:sz w:val="32"/>
          <w:szCs w:val="32"/>
        </w:rPr>
      </w:pPr>
    </w:p>
    <w:p w:rsidR="00BE0083" w:rsidRPr="00BE0083" w:rsidRDefault="00BE0083" w:rsidP="00BE0083">
      <w:pPr>
        <w:spacing w:after="0" w:line="240" w:lineRule="auto"/>
        <w:jc w:val="center"/>
        <w:rPr>
          <w:b/>
          <w:sz w:val="24"/>
          <w:szCs w:val="24"/>
        </w:rPr>
      </w:pPr>
    </w:p>
    <w:p w:rsidR="009F437D" w:rsidRDefault="009F437D" w:rsidP="009F437D">
      <w:pPr>
        <w:spacing w:after="0" w:line="240" w:lineRule="auto"/>
        <w:jc w:val="center"/>
        <w:rPr>
          <w:b/>
          <w:sz w:val="80"/>
        </w:rPr>
      </w:pPr>
      <w:r>
        <w:rPr>
          <w:b/>
          <w:noProof/>
          <w:sz w:val="80"/>
        </w:rPr>
        <w:drawing>
          <wp:inline distT="0" distB="0" distL="0" distR="0">
            <wp:extent cx="5029200" cy="334420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 sign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43295" cy="3353576"/>
                    </a:xfrm>
                    <a:prstGeom prst="rect">
                      <a:avLst/>
                    </a:prstGeom>
                  </pic:spPr>
                </pic:pic>
              </a:graphicData>
            </a:graphic>
          </wp:inline>
        </w:drawing>
      </w:r>
    </w:p>
    <w:p w:rsidR="00BE0083" w:rsidRPr="00BE0083" w:rsidRDefault="00BE0083" w:rsidP="009F437D">
      <w:pPr>
        <w:spacing w:after="0" w:line="240" w:lineRule="auto"/>
        <w:jc w:val="center"/>
        <w:rPr>
          <w:rFonts w:cstheme="minorHAnsi"/>
          <w:b/>
          <w:sz w:val="24"/>
          <w:szCs w:val="24"/>
        </w:rPr>
      </w:pPr>
    </w:p>
    <w:p w:rsidR="009F437D" w:rsidRPr="00BE0083" w:rsidRDefault="009F437D" w:rsidP="009F437D">
      <w:pPr>
        <w:spacing w:after="0" w:line="240" w:lineRule="auto"/>
        <w:jc w:val="center"/>
        <w:rPr>
          <w:rFonts w:cstheme="minorHAnsi"/>
          <w:b/>
          <w:sz w:val="52"/>
          <w:szCs w:val="52"/>
        </w:rPr>
      </w:pPr>
      <w:r w:rsidRPr="00BE0083">
        <w:rPr>
          <w:rFonts w:cstheme="minorHAnsi"/>
          <w:b/>
          <w:sz w:val="52"/>
          <w:szCs w:val="52"/>
        </w:rPr>
        <w:t xml:space="preserve">Fateh Azzam </w:t>
      </w:r>
    </w:p>
    <w:p w:rsidR="009F437D" w:rsidRPr="00EB7F7B" w:rsidRDefault="009F437D" w:rsidP="00EB7F7B">
      <w:pPr>
        <w:spacing w:after="0" w:line="240" w:lineRule="auto"/>
        <w:jc w:val="center"/>
        <w:rPr>
          <w:rFonts w:cstheme="minorHAnsi"/>
          <w:b/>
          <w:sz w:val="16"/>
          <w:szCs w:val="16"/>
        </w:rPr>
      </w:pPr>
      <w:r w:rsidRPr="00EB7F7B">
        <w:rPr>
          <w:rFonts w:cstheme="minorHAnsi"/>
          <w:b/>
          <w:sz w:val="46"/>
        </w:rPr>
        <w:t>Thursday</w:t>
      </w:r>
      <w:r w:rsidR="00F04D12">
        <w:rPr>
          <w:rFonts w:cstheme="minorHAnsi"/>
          <w:b/>
          <w:sz w:val="46"/>
        </w:rPr>
        <w:t>,</w:t>
      </w:r>
      <w:r w:rsidRPr="00EB7F7B">
        <w:rPr>
          <w:rFonts w:cstheme="minorHAnsi"/>
          <w:b/>
          <w:sz w:val="46"/>
        </w:rPr>
        <w:t xml:space="preserve"> Nov. 9, 4:30 pm, Millett Hall Atrium</w:t>
      </w:r>
    </w:p>
    <w:p w:rsidR="00EB7F7B" w:rsidRPr="00EB7F7B" w:rsidRDefault="00EB7F7B" w:rsidP="00EB7F7B">
      <w:pPr>
        <w:spacing w:after="0" w:line="240" w:lineRule="auto"/>
        <w:jc w:val="center"/>
        <w:rPr>
          <w:rFonts w:cstheme="minorHAnsi"/>
          <w:b/>
          <w:sz w:val="16"/>
          <w:szCs w:val="16"/>
        </w:rPr>
      </w:pPr>
    </w:p>
    <w:p w:rsidR="009F437D" w:rsidRPr="00EB7F7B" w:rsidRDefault="009F437D" w:rsidP="00265DF8">
      <w:pPr>
        <w:ind w:left="540" w:right="972"/>
        <w:jc w:val="both"/>
        <w:rPr>
          <w:rFonts w:cstheme="minorHAnsi"/>
          <w:sz w:val="28"/>
          <w:szCs w:val="28"/>
        </w:rPr>
      </w:pPr>
      <w:r w:rsidRPr="00EB7F7B">
        <w:rPr>
          <w:rFonts w:cstheme="minorHAnsi"/>
          <w:sz w:val="28"/>
          <w:szCs w:val="28"/>
        </w:rPr>
        <w:t xml:space="preserve">The talk will explore </w:t>
      </w:r>
      <w:r w:rsidRPr="00EB7F7B">
        <w:rPr>
          <w:rFonts w:eastAsia="Times New Roman" w:cstheme="minorHAnsi"/>
          <w:sz w:val="28"/>
          <w:szCs w:val="28"/>
        </w:rPr>
        <w:t xml:space="preserve">the current map of human rights activism </w:t>
      </w:r>
      <w:r w:rsidRPr="00EB7F7B">
        <w:rPr>
          <w:rFonts w:cstheme="minorHAnsi"/>
          <w:sz w:val="28"/>
          <w:szCs w:val="28"/>
        </w:rPr>
        <w:t>in the Occupied Palestinian territories</w:t>
      </w:r>
      <w:r w:rsidRPr="00EB7F7B">
        <w:rPr>
          <w:rFonts w:eastAsia="Times New Roman" w:cstheme="minorHAnsi"/>
          <w:sz w:val="28"/>
          <w:szCs w:val="28"/>
        </w:rPr>
        <w:t xml:space="preserve"> and the issues they tackle; their cooperation with Israeli organizations; and the challenges they confront. </w:t>
      </w:r>
      <w:r w:rsidRPr="00EB7F7B">
        <w:rPr>
          <w:rFonts w:cstheme="minorHAnsi"/>
          <w:color w:val="1E1E1E"/>
          <w:sz w:val="28"/>
          <w:szCs w:val="28"/>
          <w:shd w:val="clear" w:color="auto" w:fill="FFFFFF"/>
        </w:rPr>
        <w:t xml:space="preserve"> </w:t>
      </w:r>
    </w:p>
    <w:p w:rsidR="009F437D" w:rsidRPr="00EB7F7B" w:rsidRDefault="00EB7F7B" w:rsidP="00265DF8">
      <w:pPr>
        <w:spacing w:after="0" w:line="240" w:lineRule="auto"/>
        <w:ind w:left="540" w:right="972"/>
        <w:jc w:val="both"/>
        <w:rPr>
          <w:rFonts w:cstheme="minorHAnsi"/>
          <w:color w:val="1E1E1E"/>
          <w:sz w:val="28"/>
          <w:szCs w:val="28"/>
          <w:shd w:val="clear" w:color="auto" w:fill="FFFFFF"/>
        </w:rPr>
      </w:pPr>
      <w:r>
        <w:rPr>
          <w:rFonts w:cstheme="minorHAnsi"/>
          <w:b/>
          <w:color w:val="1E1E1E"/>
          <w:sz w:val="28"/>
          <w:szCs w:val="28"/>
          <w:shd w:val="clear" w:color="auto" w:fill="FFFFFF"/>
        </w:rPr>
        <w:t>FATEH AZZAM, LLM,</w:t>
      </w:r>
      <w:r w:rsidR="009F437D" w:rsidRPr="00EB7F7B">
        <w:rPr>
          <w:rFonts w:cstheme="minorHAnsi"/>
          <w:color w:val="1E1E1E"/>
          <w:sz w:val="28"/>
          <w:szCs w:val="28"/>
          <w:shd w:val="clear" w:color="auto" w:fill="FFFFFF"/>
        </w:rPr>
        <w:t xml:space="preserve"> is a Senior Fellow at the </w:t>
      </w:r>
      <w:proofErr w:type="spellStart"/>
      <w:r w:rsidR="009F437D" w:rsidRPr="00EB7F7B">
        <w:rPr>
          <w:rFonts w:cstheme="minorHAnsi"/>
          <w:color w:val="1E1E1E"/>
          <w:sz w:val="28"/>
          <w:szCs w:val="28"/>
          <w:shd w:val="clear" w:color="auto" w:fill="FFFFFF"/>
        </w:rPr>
        <w:t>Carr</w:t>
      </w:r>
      <w:proofErr w:type="spellEnd"/>
      <w:r w:rsidR="009F437D" w:rsidRPr="00EB7F7B">
        <w:rPr>
          <w:rFonts w:cstheme="minorHAnsi"/>
          <w:color w:val="1E1E1E"/>
          <w:sz w:val="28"/>
          <w:szCs w:val="28"/>
          <w:shd w:val="clear" w:color="auto" w:fill="FFFFFF"/>
        </w:rPr>
        <w:t xml:space="preserve"> Center for Human Rights Policy and an Affiliate at the Middle East Initiative at Harvard Kennedy School. He was the former director of the </w:t>
      </w:r>
      <w:proofErr w:type="spellStart"/>
      <w:r w:rsidR="009F437D" w:rsidRPr="00EB7F7B">
        <w:rPr>
          <w:rFonts w:cstheme="minorHAnsi"/>
          <w:color w:val="1E1E1E"/>
          <w:sz w:val="28"/>
          <w:szCs w:val="28"/>
          <w:shd w:val="clear" w:color="auto" w:fill="FFFFFF"/>
        </w:rPr>
        <w:t>Asfari</w:t>
      </w:r>
      <w:proofErr w:type="spellEnd"/>
      <w:r w:rsidR="009F437D" w:rsidRPr="00EB7F7B">
        <w:rPr>
          <w:rFonts w:cstheme="minorHAnsi"/>
          <w:color w:val="1E1E1E"/>
          <w:sz w:val="28"/>
          <w:szCs w:val="28"/>
          <w:shd w:val="clear" w:color="auto" w:fill="FFFFFF"/>
        </w:rPr>
        <w:t xml:space="preserve"> Institute for Civil Society and Citizenship and Senior Policy Fellow at t</w:t>
      </w:r>
      <w:bookmarkStart w:id="0" w:name="_GoBack"/>
      <w:bookmarkEnd w:id="0"/>
      <w:r w:rsidR="009F437D" w:rsidRPr="00EB7F7B">
        <w:rPr>
          <w:rFonts w:cstheme="minorHAnsi"/>
          <w:color w:val="1E1E1E"/>
          <w:sz w:val="28"/>
          <w:szCs w:val="28"/>
          <w:shd w:val="clear" w:color="auto" w:fill="FFFFFF"/>
        </w:rPr>
        <w:t xml:space="preserve">he </w:t>
      </w:r>
      <w:proofErr w:type="spellStart"/>
      <w:r w:rsidR="009F437D" w:rsidRPr="00EB7F7B">
        <w:rPr>
          <w:rFonts w:cstheme="minorHAnsi"/>
          <w:color w:val="1E1E1E"/>
          <w:sz w:val="28"/>
          <w:szCs w:val="28"/>
          <w:shd w:val="clear" w:color="auto" w:fill="FFFFFF"/>
        </w:rPr>
        <w:t>Issam</w:t>
      </w:r>
      <w:proofErr w:type="spellEnd"/>
      <w:r w:rsidR="009F437D" w:rsidRPr="00EB7F7B">
        <w:rPr>
          <w:rFonts w:cstheme="minorHAnsi"/>
          <w:color w:val="1E1E1E"/>
          <w:sz w:val="28"/>
          <w:szCs w:val="28"/>
          <w:shd w:val="clear" w:color="auto" w:fill="FFFFFF"/>
        </w:rPr>
        <w:t xml:space="preserve"> Fares Institute for Public Policy and International Relations, both at the American University in Beirut. He previously served as the Middle East Regional Representative of the UN High Commissioner for Human Rights, Director of Forced Migration and Refugee Studies at the American University in Cairo, Human Rights Program Officer at the Ford Foundation in Lagos and Cairo, and Director of the Palestinian organization Al-Haq. He led the process of establishing the Arab Human Rights Fund. Azzam holds an LLM in International Human Rights Law from the University of Essex.</w:t>
      </w:r>
    </w:p>
    <w:p w:rsidR="009F437D" w:rsidRDefault="009F437D" w:rsidP="00265DF8">
      <w:pPr>
        <w:spacing w:after="0" w:line="240" w:lineRule="auto"/>
        <w:ind w:left="540" w:right="972"/>
        <w:jc w:val="both"/>
        <w:rPr>
          <w:color w:val="1E1E1E"/>
          <w:shd w:val="clear" w:color="auto" w:fill="FFFFFF"/>
        </w:rPr>
      </w:pPr>
    </w:p>
    <w:p w:rsidR="009F437D" w:rsidRPr="00BE0083" w:rsidRDefault="009F437D" w:rsidP="00265DF8">
      <w:pPr>
        <w:spacing w:after="0" w:line="240" w:lineRule="auto"/>
        <w:ind w:left="540" w:right="1242"/>
        <w:jc w:val="both"/>
        <w:rPr>
          <w:color w:val="1E1E1E"/>
          <w:sz w:val="24"/>
          <w:szCs w:val="24"/>
          <w:shd w:val="clear" w:color="auto" w:fill="FFFFFF"/>
        </w:rPr>
      </w:pPr>
      <w:r w:rsidRPr="00BE0083">
        <w:rPr>
          <w:color w:val="1E1E1E"/>
          <w:sz w:val="24"/>
          <w:szCs w:val="24"/>
          <w:shd w:val="clear" w:color="auto" w:fill="FFFFFF"/>
        </w:rPr>
        <w:t>Sponsors: Peace Lecture Committee, University Center for International Education, Student Affairs, Dayton-Arab-American-Forum</w:t>
      </w:r>
    </w:p>
    <w:p w:rsidR="00EB7F7B" w:rsidRPr="00BE0083" w:rsidRDefault="00EB7F7B" w:rsidP="00265DF8">
      <w:pPr>
        <w:spacing w:after="0" w:line="240" w:lineRule="auto"/>
        <w:ind w:left="540" w:right="1242"/>
        <w:jc w:val="both"/>
        <w:rPr>
          <w:color w:val="1E1E1E"/>
          <w:sz w:val="24"/>
          <w:szCs w:val="24"/>
          <w:shd w:val="clear" w:color="auto" w:fill="FFFFFF"/>
        </w:rPr>
      </w:pPr>
    </w:p>
    <w:p w:rsidR="00EB7F7B" w:rsidRPr="00BE0083" w:rsidRDefault="00EB7F7B" w:rsidP="00F04D12">
      <w:pPr>
        <w:spacing w:after="0" w:line="240" w:lineRule="auto"/>
        <w:ind w:left="540" w:right="1242"/>
        <w:jc w:val="both"/>
        <w:rPr>
          <w:b/>
          <w:sz w:val="24"/>
          <w:szCs w:val="24"/>
        </w:rPr>
      </w:pPr>
      <w:r w:rsidRPr="00BE0083">
        <w:rPr>
          <w:color w:val="1E1E1E"/>
          <w:sz w:val="24"/>
          <w:szCs w:val="24"/>
          <w:shd w:val="clear" w:color="auto" w:fill="FFFFFF"/>
        </w:rPr>
        <w:t>Contact: Dr. Awad Halabi awad.halabi@wright.edu</w:t>
      </w:r>
    </w:p>
    <w:sectPr w:rsidR="00EB7F7B" w:rsidRPr="00BE0083" w:rsidSect="00BE0083">
      <w:pgSz w:w="12240" w:h="20160" w:code="5"/>
      <w:pgMar w:top="864" w:right="864" w:bottom="864" w:left="864"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7D"/>
    <w:rsid w:val="00265DF8"/>
    <w:rsid w:val="007F0419"/>
    <w:rsid w:val="009F437D"/>
    <w:rsid w:val="00BE0083"/>
    <w:rsid w:val="00C23337"/>
    <w:rsid w:val="00EB7F7B"/>
    <w:rsid w:val="00F04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8D8B22-CEB2-48E6-8DC5-F109DD50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Awad Halabi</dc:creator>
  <cp:keywords/>
  <dc:description/>
  <cp:lastModifiedBy>Awad Halabi</cp:lastModifiedBy>
  <cp:revision>2</cp:revision>
  <dcterms:created xsi:type="dcterms:W3CDTF">2017-11-02T13:41:00Z</dcterms:created>
  <dcterms:modified xsi:type="dcterms:W3CDTF">2017-11-02T13:41:00Z</dcterms:modified>
</cp:coreProperties>
</file>